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43" w:rsidRPr="00E64543" w:rsidRDefault="00BA4CBB" w:rsidP="00E64543">
      <w:pPr>
        <w:jc w:val="center"/>
        <w:rPr>
          <w:b/>
          <w:sz w:val="28"/>
          <w:szCs w:val="28"/>
        </w:rPr>
      </w:pPr>
      <w:bookmarkStart w:id="0" w:name="_GoBack"/>
      <w:bookmarkEnd w:id="0"/>
      <w:r w:rsidRPr="009E649A">
        <w:rPr>
          <w:b/>
          <w:sz w:val="28"/>
          <w:szCs w:val="28"/>
        </w:rPr>
        <w:t>Medicare</w:t>
      </w:r>
      <w:r>
        <w:rPr>
          <w:b/>
          <w:sz w:val="28"/>
          <w:szCs w:val="28"/>
        </w:rPr>
        <w:t xml:space="preserve"> </w:t>
      </w:r>
      <w:r w:rsidR="00E64543" w:rsidRPr="00E64543">
        <w:rPr>
          <w:b/>
          <w:sz w:val="28"/>
          <w:szCs w:val="28"/>
        </w:rPr>
        <w:t xml:space="preserve">RHC </w:t>
      </w:r>
      <w:r w:rsidR="005440A6">
        <w:rPr>
          <w:b/>
          <w:sz w:val="28"/>
          <w:szCs w:val="28"/>
        </w:rPr>
        <w:t>Information</w:t>
      </w:r>
    </w:p>
    <w:p w:rsidR="00E64543" w:rsidRPr="006B7E3A" w:rsidRDefault="00F24691" w:rsidP="00421FD1">
      <w:pPr>
        <w:jc w:val="center"/>
      </w:pPr>
      <w:r w:rsidRPr="006B7E3A">
        <w:rPr>
          <w:i/>
        </w:rPr>
        <w:t>Info applies only to Medicare unless otherwise indicated</w:t>
      </w:r>
    </w:p>
    <w:p w:rsidR="00F24691" w:rsidRPr="00F24691" w:rsidRDefault="00F24691" w:rsidP="00421FD1">
      <w:pPr>
        <w:jc w:val="center"/>
        <w:rPr>
          <w:sz w:val="16"/>
          <w:szCs w:val="16"/>
        </w:rPr>
      </w:pPr>
    </w:p>
    <w:p w:rsidR="009770B4" w:rsidRPr="009770B4" w:rsidRDefault="009770B4" w:rsidP="00A017FC">
      <w:pPr>
        <w:spacing w:after="60"/>
        <w:rPr>
          <w:b/>
        </w:rPr>
      </w:pPr>
      <w:r w:rsidRPr="009770B4">
        <w:rPr>
          <w:b/>
        </w:rPr>
        <w:t xml:space="preserve">HHS </w:t>
      </w:r>
      <w:r w:rsidR="000C557A">
        <w:rPr>
          <w:b/>
        </w:rPr>
        <w:t xml:space="preserve">resource </w:t>
      </w:r>
      <w:r w:rsidRPr="009770B4">
        <w:rPr>
          <w:b/>
        </w:rPr>
        <w:t>links</w:t>
      </w:r>
    </w:p>
    <w:p w:rsidR="009770B4" w:rsidRPr="009770B4" w:rsidRDefault="009770B4" w:rsidP="00904618">
      <w:pPr>
        <w:spacing w:after="60"/>
        <w:rPr>
          <w:u w:val="single"/>
        </w:rPr>
      </w:pPr>
      <w:r w:rsidRPr="009770B4">
        <w:rPr>
          <w:u w:val="single"/>
        </w:rPr>
        <w:t>ORHP</w:t>
      </w:r>
      <w:r w:rsidR="008E1103">
        <w:rPr>
          <w:u w:val="single"/>
        </w:rPr>
        <w:t xml:space="preserve"> &amp; related</w:t>
      </w:r>
    </w:p>
    <w:p w:rsidR="009770B4" w:rsidRPr="000542BB" w:rsidRDefault="009770B4" w:rsidP="00A017FC">
      <w:pPr>
        <w:spacing w:after="80"/>
        <w:rPr>
          <w:sz w:val="20"/>
          <w:szCs w:val="20"/>
        </w:rPr>
      </w:pPr>
      <w:r w:rsidRPr="000542BB">
        <w:rPr>
          <w:sz w:val="20"/>
          <w:szCs w:val="20"/>
        </w:rPr>
        <w:t>RHC T</w:t>
      </w:r>
      <w:r w:rsidR="00993A9C">
        <w:rPr>
          <w:sz w:val="20"/>
          <w:szCs w:val="20"/>
        </w:rPr>
        <w:t xml:space="preserve">echnical </w:t>
      </w:r>
      <w:r w:rsidRPr="000542BB">
        <w:rPr>
          <w:sz w:val="20"/>
          <w:szCs w:val="20"/>
        </w:rPr>
        <w:t>A</w:t>
      </w:r>
      <w:r w:rsidR="00993A9C">
        <w:rPr>
          <w:sz w:val="20"/>
          <w:szCs w:val="20"/>
        </w:rPr>
        <w:t xml:space="preserve">ssistance </w:t>
      </w:r>
      <w:r w:rsidRPr="000542BB">
        <w:rPr>
          <w:sz w:val="20"/>
          <w:szCs w:val="20"/>
        </w:rPr>
        <w:t>Series</w:t>
      </w:r>
      <w:r w:rsidR="00BB737F">
        <w:rPr>
          <w:sz w:val="20"/>
          <w:szCs w:val="20"/>
        </w:rPr>
        <w:t xml:space="preserve"> Archive </w:t>
      </w:r>
      <w:r w:rsidRPr="000542BB">
        <w:rPr>
          <w:sz w:val="20"/>
          <w:szCs w:val="20"/>
        </w:rPr>
        <w:t xml:space="preserve">- </w:t>
      </w:r>
      <w:hyperlink r:id="rId6" w:history="1">
        <w:r w:rsidRPr="000542BB">
          <w:rPr>
            <w:rStyle w:val="Hyperlink"/>
            <w:sz w:val="20"/>
            <w:szCs w:val="20"/>
          </w:rPr>
          <w:t>http://www.hrsa.gov/ruralhealth/policy/confcall/</w:t>
        </w:r>
      </w:hyperlink>
    </w:p>
    <w:p w:rsidR="009770B4" w:rsidRPr="000542BB" w:rsidRDefault="009770B4" w:rsidP="00A017FC">
      <w:pPr>
        <w:spacing w:after="80"/>
        <w:rPr>
          <w:sz w:val="20"/>
          <w:szCs w:val="20"/>
        </w:rPr>
      </w:pPr>
      <w:r w:rsidRPr="000542BB">
        <w:rPr>
          <w:sz w:val="20"/>
          <w:szCs w:val="20"/>
        </w:rPr>
        <w:t xml:space="preserve">Starting a Rural Health Clinic - A How-To </w:t>
      </w:r>
      <w:r w:rsidRPr="000542BB">
        <w:rPr>
          <w:bCs/>
          <w:sz w:val="20"/>
          <w:szCs w:val="20"/>
        </w:rPr>
        <w:t xml:space="preserve">Manual - </w:t>
      </w:r>
      <w:hyperlink r:id="rId7" w:history="1">
        <w:r w:rsidRPr="000542BB">
          <w:rPr>
            <w:rStyle w:val="Hyperlink"/>
            <w:sz w:val="20"/>
            <w:szCs w:val="20"/>
          </w:rPr>
          <w:t>http://www.hrsa.gov/ruralhealth/pdf/rhcmanual1.pdf</w:t>
        </w:r>
      </w:hyperlink>
    </w:p>
    <w:p w:rsidR="009770B4" w:rsidRDefault="007039E3" w:rsidP="00A017FC">
      <w:pPr>
        <w:spacing w:after="80"/>
      </w:pPr>
      <w:r w:rsidRPr="000542BB">
        <w:rPr>
          <w:sz w:val="20"/>
          <w:szCs w:val="20"/>
        </w:rPr>
        <w:t xml:space="preserve">Comparison of the RHC and FQHC Programs - </w:t>
      </w:r>
      <w:hyperlink r:id="rId8" w:history="1">
        <w:r w:rsidRPr="000542BB">
          <w:rPr>
            <w:rStyle w:val="Hyperlink"/>
            <w:sz w:val="20"/>
            <w:szCs w:val="20"/>
          </w:rPr>
          <w:t>http://www.ask.hrsa.gov/downloads/fqhc-rhccomparison.pdf</w:t>
        </w:r>
      </w:hyperlink>
    </w:p>
    <w:p w:rsidR="00E870EC" w:rsidRPr="00455ED7" w:rsidRDefault="00E870EC" w:rsidP="00CF70F2">
      <w:pPr>
        <w:pStyle w:val="ListParagraph"/>
        <w:ind w:left="0"/>
        <w:contextualSpacing w:val="0"/>
        <w:rPr>
          <w:sz w:val="20"/>
          <w:szCs w:val="20"/>
        </w:rPr>
      </w:pPr>
      <w:r w:rsidRPr="00EE248D">
        <w:rPr>
          <w:sz w:val="20"/>
          <w:szCs w:val="20"/>
        </w:rPr>
        <w:t xml:space="preserve">Rural Assistance Center RHC page - </w:t>
      </w:r>
      <w:hyperlink r:id="rId9" w:history="1">
        <w:r w:rsidR="00C8322B" w:rsidRPr="00455ED7">
          <w:rPr>
            <w:rStyle w:val="Hyperlink"/>
            <w:sz w:val="20"/>
            <w:szCs w:val="20"/>
          </w:rPr>
          <w:t>http://www.raconline.org/topics/clinics/rhc.php</w:t>
        </w:r>
      </w:hyperlink>
    </w:p>
    <w:p w:rsidR="00112C01" w:rsidRDefault="00112C01" w:rsidP="009770B4"/>
    <w:p w:rsidR="000542BB" w:rsidRPr="000542BB" w:rsidRDefault="000542BB" w:rsidP="00904618">
      <w:pPr>
        <w:spacing w:after="60"/>
        <w:rPr>
          <w:u w:val="single"/>
        </w:rPr>
      </w:pPr>
      <w:r w:rsidRPr="000542BB">
        <w:rPr>
          <w:u w:val="single"/>
        </w:rPr>
        <w:t>CMS</w:t>
      </w:r>
    </w:p>
    <w:p w:rsidR="000542BB" w:rsidRPr="000542BB" w:rsidRDefault="000542BB" w:rsidP="003524F8">
      <w:pPr>
        <w:spacing w:after="100"/>
        <w:rPr>
          <w:sz w:val="20"/>
          <w:szCs w:val="20"/>
        </w:rPr>
      </w:pPr>
      <w:r w:rsidRPr="000542BB">
        <w:rPr>
          <w:sz w:val="20"/>
          <w:szCs w:val="20"/>
        </w:rPr>
        <w:t xml:space="preserve">RHC Center - </w:t>
      </w:r>
      <w:hyperlink r:id="rId10" w:history="1">
        <w:r w:rsidRPr="000542BB">
          <w:rPr>
            <w:rStyle w:val="Hyperlink"/>
            <w:sz w:val="20"/>
            <w:szCs w:val="20"/>
          </w:rPr>
          <w:t>http://www.cms.gov/center/rural.asp</w:t>
        </w:r>
      </w:hyperlink>
    </w:p>
    <w:p w:rsidR="000542BB" w:rsidRDefault="000542BB" w:rsidP="003524F8">
      <w:pPr>
        <w:spacing w:after="100"/>
      </w:pPr>
      <w:r w:rsidRPr="000542BB">
        <w:rPr>
          <w:sz w:val="20"/>
          <w:szCs w:val="20"/>
        </w:rPr>
        <w:t xml:space="preserve">RHC Fact Sheet - </w:t>
      </w:r>
      <w:hyperlink r:id="rId11" w:history="1">
        <w:r w:rsidR="00524F9F" w:rsidRPr="00524F9F">
          <w:rPr>
            <w:rStyle w:val="Hyperlink"/>
            <w:sz w:val="16"/>
            <w:szCs w:val="16"/>
          </w:rPr>
          <w:t>http://www.cms.gov/Outreach-and-Education/Medicare-Learning-Network-MLN/MLNProducts/Downloads/RuralHlthClinfctsht.pdf</w:t>
        </w:r>
      </w:hyperlink>
    </w:p>
    <w:p w:rsidR="000542BB" w:rsidRPr="000542BB" w:rsidRDefault="000542BB" w:rsidP="003524F8">
      <w:pPr>
        <w:spacing w:after="100"/>
        <w:rPr>
          <w:sz w:val="20"/>
          <w:szCs w:val="20"/>
        </w:rPr>
      </w:pPr>
      <w:r w:rsidRPr="000542BB">
        <w:rPr>
          <w:sz w:val="20"/>
          <w:szCs w:val="20"/>
        </w:rPr>
        <w:t xml:space="preserve">RHC Certification and Compliance - </w:t>
      </w:r>
      <w:hyperlink r:id="rId12" w:history="1">
        <w:r w:rsidRPr="000542BB">
          <w:rPr>
            <w:rStyle w:val="Hyperlink"/>
            <w:sz w:val="20"/>
            <w:szCs w:val="20"/>
          </w:rPr>
          <w:t>http://www.cms.gov/CertificationandComplianc/18_RHCs.asp</w:t>
        </w:r>
      </w:hyperlink>
    </w:p>
    <w:p w:rsidR="000542BB" w:rsidRPr="000542BB" w:rsidRDefault="000542BB" w:rsidP="003524F8">
      <w:pPr>
        <w:spacing w:after="100"/>
        <w:rPr>
          <w:sz w:val="20"/>
          <w:szCs w:val="20"/>
        </w:rPr>
      </w:pPr>
      <w:r w:rsidRPr="000542BB">
        <w:rPr>
          <w:sz w:val="20"/>
          <w:szCs w:val="20"/>
        </w:rPr>
        <w:t xml:space="preserve">RHC Claim Processing Manual - </w:t>
      </w:r>
      <w:hyperlink r:id="rId13" w:history="1">
        <w:r w:rsidRPr="000542BB">
          <w:rPr>
            <w:rStyle w:val="Hyperlink"/>
            <w:sz w:val="20"/>
            <w:szCs w:val="20"/>
          </w:rPr>
          <w:t>http://www.cms.gov/manuals/downloads/clm104c09.pdf</w:t>
        </w:r>
      </w:hyperlink>
    </w:p>
    <w:p w:rsidR="000542BB" w:rsidRDefault="000542BB" w:rsidP="003524F8">
      <w:pPr>
        <w:spacing w:after="100"/>
        <w:rPr>
          <w:rStyle w:val="Hyperlink"/>
          <w:sz w:val="20"/>
          <w:szCs w:val="20"/>
        </w:rPr>
      </w:pPr>
      <w:r w:rsidRPr="000542BB">
        <w:rPr>
          <w:sz w:val="20"/>
          <w:szCs w:val="20"/>
        </w:rPr>
        <w:t xml:space="preserve">RHC Benefit Policy Manual - </w:t>
      </w:r>
      <w:hyperlink r:id="rId14" w:history="1">
        <w:r w:rsidRPr="000542BB">
          <w:rPr>
            <w:rStyle w:val="Hyperlink"/>
            <w:sz w:val="20"/>
            <w:szCs w:val="20"/>
          </w:rPr>
          <w:t>http://www.cms.gov/manuals/Downloads/bp102c13.pdf</w:t>
        </w:r>
      </w:hyperlink>
    </w:p>
    <w:p w:rsidR="008E4C94" w:rsidRPr="00CC3070" w:rsidRDefault="00F24691" w:rsidP="003524F8">
      <w:pPr>
        <w:spacing w:after="100"/>
        <w:rPr>
          <w:sz w:val="20"/>
          <w:szCs w:val="20"/>
        </w:rPr>
      </w:pPr>
      <w:r>
        <w:rPr>
          <w:sz w:val="20"/>
          <w:szCs w:val="20"/>
        </w:rPr>
        <w:t>FI/</w:t>
      </w:r>
      <w:r w:rsidR="008E4C94" w:rsidRPr="005B680E">
        <w:rPr>
          <w:sz w:val="20"/>
          <w:szCs w:val="20"/>
        </w:rPr>
        <w:t>MAC Info -</w:t>
      </w:r>
      <w:r w:rsidR="00CC3070">
        <w:rPr>
          <w:sz w:val="20"/>
          <w:szCs w:val="20"/>
        </w:rPr>
        <w:t xml:space="preserve"> </w:t>
      </w:r>
      <w:hyperlink r:id="rId15" w:history="1">
        <w:r w:rsidR="00CC3070" w:rsidRPr="00CC3070">
          <w:rPr>
            <w:rStyle w:val="Hyperlink"/>
            <w:sz w:val="18"/>
            <w:szCs w:val="20"/>
          </w:rPr>
          <w:t>http://www.cms.gov/Research-Statistics-Data-and-Systems/Monitoring-Programs/provider-compliance-interactive-map/index.html</w:t>
        </w:r>
      </w:hyperlink>
    </w:p>
    <w:p w:rsidR="00240341" w:rsidRDefault="00240341" w:rsidP="003524F8">
      <w:pPr>
        <w:spacing w:after="100"/>
        <w:rPr>
          <w:rStyle w:val="Hyperlink"/>
          <w:sz w:val="20"/>
          <w:szCs w:val="20"/>
        </w:rPr>
      </w:pPr>
      <w:r w:rsidRPr="00240341">
        <w:rPr>
          <w:sz w:val="20"/>
          <w:szCs w:val="20"/>
        </w:rPr>
        <w:t xml:space="preserve">Medicare Advantage </w:t>
      </w:r>
      <w:r>
        <w:rPr>
          <w:sz w:val="20"/>
          <w:szCs w:val="20"/>
        </w:rPr>
        <w:t xml:space="preserve">guide - </w:t>
      </w:r>
      <w:hyperlink r:id="rId16" w:history="1">
        <w:r w:rsidRPr="00240341">
          <w:rPr>
            <w:rStyle w:val="Hyperlink"/>
            <w:sz w:val="20"/>
            <w:szCs w:val="20"/>
          </w:rPr>
          <w:t>https://www.cms.gov/MedicareAdvtgSpecRateStats/downloads/oon-payments.pdf</w:t>
        </w:r>
      </w:hyperlink>
    </w:p>
    <w:p w:rsidR="003524F8" w:rsidRDefault="003524F8" w:rsidP="005B680E">
      <w:pPr>
        <w:rPr>
          <w:sz w:val="20"/>
          <w:szCs w:val="20"/>
        </w:rPr>
      </w:pPr>
      <w:r>
        <w:rPr>
          <w:sz w:val="20"/>
          <w:szCs w:val="20"/>
        </w:rPr>
        <w:t xml:space="preserve">State Survey Agency contacts - </w:t>
      </w:r>
      <w:hyperlink r:id="rId17" w:history="1">
        <w:r w:rsidRPr="003524F8">
          <w:rPr>
            <w:rStyle w:val="Hyperlink"/>
            <w:sz w:val="14"/>
            <w:szCs w:val="20"/>
          </w:rPr>
          <w:t>http://www.cms.gov/Medicare/Provider-Enrollment-and-Certification/SurveyCertificationGenInfo/downloads/State_Agency_Contacts.pdf</w:t>
        </w:r>
      </w:hyperlink>
    </w:p>
    <w:p w:rsidR="000542BB" w:rsidRDefault="000542BB"/>
    <w:p w:rsidR="009770B4" w:rsidRPr="002C307B" w:rsidRDefault="00D71E46">
      <w:pPr>
        <w:rPr>
          <w:b/>
        </w:rPr>
      </w:pPr>
      <w:r w:rsidRPr="002C307B">
        <w:rPr>
          <w:b/>
        </w:rPr>
        <w:t>History</w:t>
      </w:r>
    </w:p>
    <w:p w:rsidR="00D71E46" w:rsidRPr="002C307B" w:rsidRDefault="00D71E46" w:rsidP="00D71E46">
      <w:r w:rsidRPr="002C307B">
        <w:t xml:space="preserve">The Rural Health Clinic Services Act of 1977 (Public Law 95-210) was enacted to address an inadequate supply of physicians serving Medicare beneficiaries in rural areas and to increase the utilization of non-physician practitioners such as NPs and PAs in rural areas.  There are approximately </w:t>
      </w:r>
      <w:r w:rsidR="005F038B">
        <w:t>4</w:t>
      </w:r>
      <w:r w:rsidRPr="002C307B">
        <w:t>,</w:t>
      </w:r>
      <w:r w:rsidR="005F038B">
        <w:t>0</w:t>
      </w:r>
      <w:r w:rsidRPr="002C307B">
        <w:t>00 RHCs nationwide</w:t>
      </w:r>
      <w:r w:rsidR="005F038B">
        <w:t xml:space="preserve"> (</w:t>
      </w:r>
      <w:r w:rsidR="006B7E3A">
        <w:t>January 2013</w:t>
      </w:r>
      <w:r w:rsidR="005F038B">
        <w:t>)</w:t>
      </w:r>
      <w:r w:rsidRPr="002C307B">
        <w:t>.</w:t>
      </w:r>
    </w:p>
    <w:p w:rsidR="00D71E46" w:rsidRPr="002C307B" w:rsidRDefault="00D71E46"/>
    <w:p w:rsidR="00C76BBE" w:rsidRPr="002C307B" w:rsidRDefault="00C76BBE">
      <w:pPr>
        <w:rPr>
          <w:b/>
        </w:rPr>
      </w:pPr>
      <w:r w:rsidRPr="002C307B">
        <w:rPr>
          <w:b/>
        </w:rPr>
        <w:t>Location Requirements</w:t>
      </w:r>
    </w:p>
    <w:p w:rsidR="00C76BBE" w:rsidRPr="002C307B" w:rsidRDefault="00CF70F2" w:rsidP="00E35A90">
      <w:r>
        <w:t>T</w:t>
      </w:r>
      <w:r w:rsidR="008E1103" w:rsidRPr="002C307B">
        <w:t xml:space="preserve">o be certified as an RHC, </w:t>
      </w:r>
      <w:r w:rsidR="00C8322B" w:rsidRPr="00C8322B">
        <w:t>at the time of survey</w:t>
      </w:r>
      <w:r w:rsidR="00C8322B" w:rsidRPr="002C307B">
        <w:t xml:space="preserve"> </w:t>
      </w:r>
      <w:r w:rsidR="008E1103" w:rsidRPr="002C307B">
        <w:t>a clinic must be located in a Census-designated</w:t>
      </w:r>
      <w:r w:rsidR="00D47A61">
        <w:t>,</w:t>
      </w:r>
      <w:r w:rsidR="008E1103" w:rsidRPr="002C307B">
        <w:t xml:space="preserve"> non-urbanized area an</w:t>
      </w:r>
      <w:r w:rsidR="00D71E46" w:rsidRPr="002C307B">
        <w:t>d in a shortage area (</w:t>
      </w:r>
      <w:r w:rsidR="007139AF">
        <w:t xml:space="preserve">geographic or population </w:t>
      </w:r>
      <w:r w:rsidR="00D71E46" w:rsidRPr="002C307B">
        <w:t>HPSA, MUA</w:t>
      </w:r>
      <w:r w:rsidR="007139AF">
        <w:t xml:space="preserve"> [not MUP]</w:t>
      </w:r>
      <w:r w:rsidR="008E1103" w:rsidRPr="002C307B">
        <w:t xml:space="preserve">, or </w:t>
      </w:r>
      <w:r w:rsidR="00D71E46" w:rsidRPr="002C307B">
        <w:t>g</w:t>
      </w:r>
      <w:r w:rsidR="008E1103" w:rsidRPr="002C307B">
        <w:t>overnor-designated).</w:t>
      </w:r>
      <w:r w:rsidR="00E870EC">
        <w:t xml:space="preserve">  The shortage area must have been designated or renewed within the previous four years</w:t>
      </w:r>
      <w:r w:rsidR="00D47A61">
        <w:t xml:space="preserve"> (through the end of the calendar year </w:t>
      </w:r>
      <w:r w:rsidR="00614E6A">
        <w:t>in which it expires</w:t>
      </w:r>
      <w:r w:rsidR="00D47A61">
        <w:t>)</w:t>
      </w:r>
      <w:r w:rsidR="00E870EC">
        <w:t>.*</w:t>
      </w:r>
      <w:r w:rsidR="00E35A90" w:rsidRPr="002C307B">
        <w:t xml:space="preserve">  </w:t>
      </w:r>
      <w:r w:rsidR="008E1103" w:rsidRPr="002C307B">
        <w:t xml:space="preserve">The Balanced Budget Act of </w:t>
      </w:r>
      <w:r w:rsidR="005951F9" w:rsidRPr="002C307B">
        <w:t>1997</w:t>
      </w:r>
      <w:r w:rsidR="008E1103" w:rsidRPr="002C307B">
        <w:t xml:space="preserve"> </w:t>
      </w:r>
      <w:r w:rsidR="007139AF">
        <w:t>amended</w:t>
      </w:r>
      <w:r w:rsidR="008E1103" w:rsidRPr="002C307B">
        <w:t xml:space="preserve"> </w:t>
      </w:r>
      <w:r w:rsidR="00E35A90" w:rsidRPr="002C307B">
        <w:t xml:space="preserve">the </w:t>
      </w:r>
      <w:r w:rsidR="008E1103" w:rsidRPr="002C307B">
        <w:t>RHC statute</w:t>
      </w:r>
      <w:r w:rsidR="00E35A90" w:rsidRPr="002C307B">
        <w:t xml:space="preserve"> to </w:t>
      </w:r>
      <w:r w:rsidR="007139AF">
        <w:t>authorize</w:t>
      </w:r>
      <w:r w:rsidR="00E35A90" w:rsidRPr="002C307B">
        <w:t xml:space="preserve"> CMS to decertify RHC</w:t>
      </w:r>
      <w:r w:rsidR="00D47A61">
        <w:t>s</w:t>
      </w:r>
      <w:r w:rsidR="00E35A90" w:rsidRPr="002C307B">
        <w:t xml:space="preserve"> that no longer </w:t>
      </w:r>
      <w:r w:rsidR="002E3C4C">
        <w:t>meet the location requirements</w:t>
      </w:r>
      <w:r w:rsidR="00CF52FD" w:rsidRPr="002C307B">
        <w:t xml:space="preserve">, </w:t>
      </w:r>
      <w:r w:rsidR="00E35A90" w:rsidRPr="002C307B">
        <w:t>but only after adopting regulations that create an exemption for RHCs determined to be “essential to the delivery of primary care services that would otherwise be unavailable in the geographic area served by the clinic.”  CMS has</w:t>
      </w:r>
      <w:r w:rsidR="002C307B">
        <w:t>n</w:t>
      </w:r>
      <w:r w:rsidR="00D47A61">
        <w:t>'</w:t>
      </w:r>
      <w:r w:rsidR="002C307B">
        <w:t xml:space="preserve">t </w:t>
      </w:r>
      <w:r w:rsidR="00E35A90" w:rsidRPr="002C307B">
        <w:t>finalize</w:t>
      </w:r>
      <w:r w:rsidR="002C307B">
        <w:t>d</w:t>
      </w:r>
      <w:r w:rsidR="00E35A90" w:rsidRPr="002C307B">
        <w:t xml:space="preserve"> such regulations, so all RHCs </w:t>
      </w:r>
      <w:r w:rsidR="002E3C4C">
        <w:t>are</w:t>
      </w:r>
      <w:r w:rsidR="00E35A90" w:rsidRPr="002C307B">
        <w:t xml:space="preserve">, in effect, grandfathered into the program.  </w:t>
      </w:r>
      <w:r w:rsidR="00CF52FD" w:rsidRPr="002C307B">
        <w:t xml:space="preserve">However, </w:t>
      </w:r>
      <w:r w:rsidR="00F0729B">
        <w:t xml:space="preserve">if </w:t>
      </w:r>
      <w:r w:rsidR="00CF52FD" w:rsidRPr="002C307B">
        <w:t xml:space="preserve">an RHC </w:t>
      </w:r>
      <w:r w:rsidR="00F0729B">
        <w:t xml:space="preserve">relocates, the new address must meet all location and </w:t>
      </w:r>
      <w:r w:rsidR="002C307B" w:rsidRPr="002C307B">
        <w:t>compliance</w:t>
      </w:r>
      <w:r w:rsidR="00F0729B">
        <w:t xml:space="preserve"> requirements to maintain certification</w:t>
      </w:r>
      <w:r w:rsidR="00CF52FD" w:rsidRPr="002C307B">
        <w:t>.</w:t>
      </w:r>
    </w:p>
    <w:p w:rsidR="004E628C" w:rsidRDefault="004E628C" w:rsidP="00227DCB"/>
    <w:p w:rsidR="00C8322B" w:rsidRDefault="00C8322B" w:rsidP="00C8322B">
      <w:r>
        <w:t xml:space="preserve">If an RHC is </w:t>
      </w:r>
      <w:r w:rsidR="00A57DA9">
        <w:t>certified</w:t>
      </w:r>
      <w:r>
        <w:t xml:space="preserve"> as the result of a MUA or governor-designated shortage area, it may seek a facility HPSA designation from HRSA, which facilitates participation in the National Health Service Corps (NHSC).  For more information, visit:  </w:t>
      </w:r>
      <w:hyperlink r:id="rId18" w:history="1">
        <w:r w:rsidRPr="00C8322B">
          <w:rPr>
            <w:rStyle w:val="Hyperlink"/>
          </w:rPr>
          <w:t>http://bhpr.hrsa.gov/shortage/hpsas/ruralhealthhpsa.html</w:t>
        </w:r>
      </w:hyperlink>
    </w:p>
    <w:p w:rsidR="00C8322B" w:rsidRPr="00C8322B" w:rsidRDefault="00C8322B" w:rsidP="00C8322B">
      <w:pPr>
        <w:pStyle w:val="ListParagraph"/>
        <w:ind w:left="0"/>
        <w:contextualSpacing w:val="0"/>
      </w:pPr>
    </w:p>
    <w:p w:rsidR="000C557A" w:rsidRDefault="000C557A" w:rsidP="005B680E">
      <w:pPr>
        <w:pStyle w:val="ListParagraph"/>
        <w:spacing w:after="80"/>
        <w:ind w:left="0"/>
        <w:contextualSpacing w:val="0"/>
      </w:pPr>
      <w:r w:rsidRPr="000C557A">
        <w:rPr>
          <w:u w:val="single"/>
        </w:rPr>
        <w:t>Rural/Non-urbanized Area</w:t>
      </w:r>
      <w:r>
        <w:t>:  To determine whether a clinic location is non-urbanized, use one of the</w:t>
      </w:r>
      <w:r w:rsidR="00C8322B">
        <w:t>se</w:t>
      </w:r>
      <w:r>
        <w:t xml:space="preserve"> web-based tools:</w:t>
      </w:r>
    </w:p>
    <w:p w:rsidR="000C557A" w:rsidRDefault="000C557A" w:rsidP="005B680E">
      <w:pPr>
        <w:pStyle w:val="ListParagraph"/>
        <w:numPr>
          <w:ilvl w:val="0"/>
          <w:numId w:val="4"/>
        </w:numPr>
        <w:spacing w:after="80"/>
        <w:ind w:left="360"/>
        <w:contextualSpacing w:val="0"/>
        <w:rPr>
          <w:sz w:val="20"/>
          <w:szCs w:val="20"/>
        </w:rPr>
      </w:pPr>
      <w:r w:rsidRPr="00FA44A5">
        <w:rPr>
          <w:sz w:val="20"/>
          <w:szCs w:val="20"/>
        </w:rPr>
        <w:t xml:space="preserve">RAC – Am I Rural? (Census non-urbanized status) </w:t>
      </w:r>
      <w:r>
        <w:rPr>
          <w:sz w:val="20"/>
          <w:szCs w:val="20"/>
        </w:rPr>
        <w:t xml:space="preserve">- </w:t>
      </w:r>
      <w:hyperlink r:id="rId19" w:history="1">
        <w:r w:rsidRPr="001719A7">
          <w:rPr>
            <w:rStyle w:val="Hyperlink"/>
            <w:sz w:val="20"/>
            <w:szCs w:val="20"/>
          </w:rPr>
          <w:t>http://ims2.missouri.edu/rac/amirural/default.asp</w:t>
        </w:r>
      </w:hyperlink>
    </w:p>
    <w:p w:rsidR="000C557A" w:rsidRDefault="000C557A" w:rsidP="00C8322B">
      <w:pPr>
        <w:pStyle w:val="ListParagraph"/>
        <w:numPr>
          <w:ilvl w:val="0"/>
          <w:numId w:val="4"/>
        </w:numPr>
        <w:spacing w:after="60"/>
        <w:ind w:left="360"/>
        <w:contextualSpacing w:val="0"/>
        <w:rPr>
          <w:sz w:val="20"/>
          <w:szCs w:val="20"/>
        </w:rPr>
      </w:pPr>
      <w:r w:rsidRPr="00FA44A5">
        <w:rPr>
          <w:sz w:val="20"/>
          <w:szCs w:val="20"/>
        </w:rPr>
        <w:t>2010 Census ‘rural’ search</w:t>
      </w:r>
      <w:r w:rsidRPr="0032758F">
        <w:rPr>
          <w:b/>
          <w:sz w:val="20"/>
          <w:szCs w:val="20"/>
        </w:rPr>
        <w:t xml:space="preserve"> </w:t>
      </w:r>
      <w:r w:rsidRPr="00196EEA">
        <w:rPr>
          <w:sz w:val="20"/>
          <w:szCs w:val="20"/>
        </w:rPr>
        <w:t xml:space="preserve">- </w:t>
      </w:r>
      <w:hyperlink r:id="rId20" w:history="1">
        <w:r w:rsidRPr="00B767D5">
          <w:rPr>
            <w:rStyle w:val="Hyperlink"/>
            <w:sz w:val="20"/>
            <w:szCs w:val="20"/>
          </w:rPr>
          <w:t>http://factfinder2.census.gov/faces/nav/jsf/pages/searchresults.xhtml?ref=addr&amp;refresh=t</w:t>
        </w:r>
      </w:hyperlink>
    </w:p>
    <w:p w:rsidR="000C557A" w:rsidRPr="00904618" w:rsidRDefault="000C557A" w:rsidP="00C8322B">
      <w:pPr>
        <w:pStyle w:val="ListParagraph"/>
        <w:spacing w:after="120"/>
        <w:ind w:left="360"/>
        <w:contextualSpacing w:val="0"/>
        <w:rPr>
          <w:i/>
          <w:sz w:val="18"/>
          <w:szCs w:val="18"/>
        </w:rPr>
      </w:pPr>
      <w:r w:rsidRPr="00904618">
        <w:rPr>
          <w:i/>
          <w:sz w:val="18"/>
          <w:szCs w:val="18"/>
        </w:rPr>
        <w:t>Note:  If no “urbanized area” result is included in the Geographies search result list, the address is rural for RHC certification purposes.  It will not actually include a “rural” entry on the list.  Rural includes urban clusters.</w:t>
      </w:r>
    </w:p>
    <w:p w:rsidR="000C557A" w:rsidRDefault="000C557A" w:rsidP="000C557A">
      <w:pPr>
        <w:pStyle w:val="ListParagraph"/>
        <w:ind w:left="360"/>
      </w:pPr>
      <w:r>
        <w:rPr>
          <w:rFonts w:eastAsia="Times New Roman" w:cs="Times New Roman"/>
          <w:bCs/>
          <w:sz w:val="20"/>
          <w:szCs w:val="20"/>
        </w:rPr>
        <w:t xml:space="preserve">For more information about </w:t>
      </w:r>
      <w:r w:rsidR="00C8322B">
        <w:rPr>
          <w:rFonts w:eastAsia="Times New Roman" w:cs="Times New Roman"/>
          <w:bCs/>
          <w:sz w:val="20"/>
          <w:szCs w:val="20"/>
        </w:rPr>
        <w:t xml:space="preserve">Census </w:t>
      </w:r>
      <w:r>
        <w:rPr>
          <w:rFonts w:eastAsia="Times New Roman" w:cs="Times New Roman"/>
          <w:bCs/>
          <w:sz w:val="20"/>
          <w:szCs w:val="20"/>
        </w:rPr>
        <w:t xml:space="preserve">rural and urban classifications, visit the </w:t>
      </w:r>
      <w:r w:rsidRPr="00112C01">
        <w:rPr>
          <w:rFonts w:eastAsia="Times New Roman" w:cs="Times New Roman"/>
          <w:bCs/>
          <w:sz w:val="20"/>
          <w:szCs w:val="20"/>
        </w:rPr>
        <w:t xml:space="preserve">2010 Census Urban and Rural Classification page </w:t>
      </w:r>
      <w:r>
        <w:rPr>
          <w:rFonts w:eastAsia="Times New Roman" w:cs="Times New Roman"/>
          <w:bCs/>
          <w:sz w:val="20"/>
          <w:szCs w:val="20"/>
        </w:rPr>
        <w:t xml:space="preserve">at:  </w:t>
      </w:r>
      <w:hyperlink r:id="rId21" w:history="1">
        <w:r w:rsidRPr="003049D0">
          <w:rPr>
            <w:rStyle w:val="Hyperlink"/>
          </w:rPr>
          <w:t>http://www.census.gov/geo/www/ua/2010urbanruralclass.html</w:t>
        </w:r>
      </w:hyperlink>
    </w:p>
    <w:p w:rsidR="000C557A" w:rsidRDefault="000C557A" w:rsidP="000C557A">
      <w:pPr>
        <w:pStyle w:val="ListParagraph"/>
        <w:ind w:left="360"/>
      </w:pPr>
    </w:p>
    <w:p w:rsidR="000C557A" w:rsidRDefault="000C557A" w:rsidP="00C8322B">
      <w:pPr>
        <w:pStyle w:val="ListParagraph"/>
        <w:ind w:left="0"/>
        <w:contextualSpacing w:val="0"/>
      </w:pPr>
      <w:r w:rsidRPr="00C8322B">
        <w:rPr>
          <w:u w:val="single"/>
        </w:rPr>
        <w:t>Shortage Area</w:t>
      </w:r>
      <w:r w:rsidRPr="00C8322B">
        <w:t>:  To determine whether a</w:t>
      </w:r>
      <w:r w:rsidR="00C8322B">
        <w:t xml:space="preserve"> clinic location </w:t>
      </w:r>
      <w:r w:rsidRPr="00C8322B">
        <w:t xml:space="preserve">is in a qualifying shortage area, use the </w:t>
      </w:r>
      <w:r w:rsidRPr="00C8322B">
        <w:rPr>
          <w:i/>
        </w:rPr>
        <w:t xml:space="preserve">HRSA Find </w:t>
      </w:r>
      <w:proofErr w:type="gramStart"/>
      <w:r w:rsidRPr="00C8322B">
        <w:rPr>
          <w:i/>
        </w:rPr>
        <w:t>A</w:t>
      </w:r>
      <w:proofErr w:type="gramEnd"/>
      <w:r w:rsidRPr="00C8322B">
        <w:rPr>
          <w:i/>
        </w:rPr>
        <w:t xml:space="preserve"> Shortage Area</w:t>
      </w:r>
      <w:r w:rsidRPr="00C8322B">
        <w:t xml:space="preserve"> tool located at: </w:t>
      </w:r>
      <w:hyperlink r:id="rId22" w:history="1">
        <w:r w:rsidRPr="00C8322B">
          <w:rPr>
            <w:rStyle w:val="Hyperlink"/>
          </w:rPr>
          <w:t>http://bhpr.hrsa.gov/shortage/shortageareas/index.html</w:t>
        </w:r>
      </w:hyperlink>
    </w:p>
    <w:p w:rsidR="00CF70F2" w:rsidRPr="00A017FC" w:rsidRDefault="00CF70F2" w:rsidP="00C8322B">
      <w:pPr>
        <w:pStyle w:val="ListParagraph"/>
        <w:ind w:left="0"/>
        <w:contextualSpacing w:val="0"/>
        <w:rPr>
          <w:sz w:val="20"/>
        </w:rPr>
      </w:pPr>
    </w:p>
    <w:p w:rsidR="00455ED7" w:rsidRPr="00B64AEB" w:rsidRDefault="00E870EC" w:rsidP="00227DCB">
      <w:pPr>
        <w:rPr>
          <w:sz w:val="20"/>
          <w:szCs w:val="20"/>
        </w:rPr>
      </w:pPr>
      <w:r w:rsidRPr="00B64AEB">
        <w:rPr>
          <w:sz w:val="20"/>
          <w:szCs w:val="20"/>
        </w:rPr>
        <w:t>*The regulations state three years.  The requirement was amended in statute, but CMS has not updated the regulations.</w:t>
      </w:r>
    </w:p>
    <w:p w:rsidR="00455ED7" w:rsidRPr="002C2907" w:rsidRDefault="00455ED7" w:rsidP="00455ED7">
      <w:pPr>
        <w:rPr>
          <w:b/>
        </w:rPr>
      </w:pPr>
      <w:r w:rsidRPr="002C2907">
        <w:rPr>
          <w:b/>
        </w:rPr>
        <w:lastRenderedPageBreak/>
        <w:t>Part A vs</w:t>
      </w:r>
      <w:r>
        <w:rPr>
          <w:b/>
        </w:rPr>
        <w:t>.</w:t>
      </w:r>
      <w:r w:rsidRPr="002C2907">
        <w:rPr>
          <w:b/>
        </w:rPr>
        <w:t xml:space="preserve"> Part B</w:t>
      </w:r>
    </w:p>
    <w:p w:rsidR="00455ED7" w:rsidRDefault="00455ED7" w:rsidP="00455ED7">
      <w:r>
        <w:t xml:space="preserve">RHCs submit claims to a Part </w:t>
      </w:r>
      <w:proofErr w:type="gramStart"/>
      <w:r>
        <w:t>A</w:t>
      </w:r>
      <w:proofErr w:type="gramEnd"/>
      <w:r>
        <w:t xml:space="preserve"> FI/MAC, so they are often referred to as Part A providers; however,</w:t>
      </w:r>
      <w:r w:rsidRPr="002C2907">
        <w:t xml:space="preserve"> </w:t>
      </w:r>
      <w:r>
        <w:t xml:space="preserve">they </w:t>
      </w:r>
      <w:r w:rsidRPr="002C2907">
        <w:t xml:space="preserve">are </w:t>
      </w:r>
      <w:r w:rsidRPr="003E3DD3">
        <w:rPr>
          <w:bCs/>
        </w:rPr>
        <w:t>paid</w:t>
      </w:r>
      <w:r w:rsidRPr="002C2907">
        <w:t xml:space="preserve"> from the Part B </w:t>
      </w:r>
      <w:r>
        <w:t>trust fund.  Beneficiaries must have Part B coverage at the time of service in order to be reimbursed.</w:t>
      </w:r>
    </w:p>
    <w:p w:rsidR="00455ED7" w:rsidRPr="002C2907" w:rsidRDefault="00455ED7" w:rsidP="00455ED7"/>
    <w:p w:rsidR="00227DCB" w:rsidRPr="000C729A" w:rsidRDefault="00227DCB" w:rsidP="00227DCB">
      <w:pPr>
        <w:rPr>
          <w:color w:val="FF0000"/>
        </w:rPr>
      </w:pPr>
      <w:r w:rsidRPr="000C729A">
        <w:rPr>
          <w:b/>
        </w:rPr>
        <w:t>Enrollment</w:t>
      </w:r>
    </w:p>
    <w:p w:rsidR="00F6278F" w:rsidRDefault="00227DCB" w:rsidP="00455ED7">
      <w:pPr>
        <w:pStyle w:val="Default"/>
        <w:rPr>
          <w:rFonts w:asciiTheme="minorHAnsi" w:hAnsiTheme="minorHAnsi"/>
          <w:color w:val="auto"/>
          <w:sz w:val="22"/>
          <w:szCs w:val="22"/>
        </w:rPr>
      </w:pPr>
      <w:r w:rsidRPr="002C307B">
        <w:rPr>
          <w:rFonts w:asciiTheme="minorHAnsi" w:hAnsiTheme="minorHAnsi"/>
          <w:color w:val="auto"/>
          <w:sz w:val="22"/>
          <w:szCs w:val="22"/>
        </w:rPr>
        <w:t xml:space="preserve">In order to bill Medicare for services provided to a beneficiary, a </w:t>
      </w:r>
      <w:r w:rsidR="00900E1F">
        <w:rPr>
          <w:rFonts w:asciiTheme="minorHAnsi" w:hAnsiTheme="minorHAnsi"/>
          <w:color w:val="auto"/>
          <w:sz w:val="22"/>
          <w:szCs w:val="22"/>
        </w:rPr>
        <w:t xml:space="preserve">facility </w:t>
      </w:r>
      <w:r w:rsidR="00154A32" w:rsidRPr="002C307B">
        <w:rPr>
          <w:rFonts w:asciiTheme="minorHAnsi" w:hAnsiTheme="minorHAnsi"/>
          <w:color w:val="auto"/>
          <w:sz w:val="22"/>
          <w:szCs w:val="22"/>
        </w:rPr>
        <w:t xml:space="preserve">or </w:t>
      </w:r>
      <w:r w:rsidRPr="002C307B">
        <w:rPr>
          <w:rFonts w:asciiTheme="minorHAnsi" w:hAnsiTheme="minorHAnsi"/>
          <w:color w:val="auto"/>
          <w:sz w:val="22"/>
          <w:szCs w:val="22"/>
        </w:rPr>
        <w:t>clinician must</w:t>
      </w:r>
      <w:r w:rsidR="00F6278F">
        <w:rPr>
          <w:rFonts w:asciiTheme="minorHAnsi" w:hAnsiTheme="minorHAnsi"/>
          <w:color w:val="auto"/>
          <w:sz w:val="22"/>
          <w:szCs w:val="22"/>
        </w:rPr>
        <w:t>:</w:t>
      </w:r>
    </w:p>
    <w:p w:rsidR="00F6278F" w:rsidRDefault="00505D74" w:rsidP="00455ED7">
      <w:pPr>
        <w:pStyle w:val="Default"/>
        <w:ind w:left="450" w:hanging="270"/>
        <w:rPr>
          <w:rFonts w:asciiTheme="minorHAnsi" w:hAnsiTheme="minorHAnsi"/>
          <w:color w:val="auto"/>
          <w:sz w:val="22"/>
          <w:szCs w:val="22"/>
        </w:rPr>
      </w:pPr>
      <w:r w:rsidRPr="002C307B">
        <w:rPr>
          <w:rFonts w:asciiTheme="minorHAnsi" w:hAnsiTheme="minorHAnsi"/>
          <w:color w:val="auto"/>
          <w:sz w:val="22"/>
          <w:szCs w:val="22"/>
        </w:rPr>
        <w:t>1)</w:t>
      </w:r>
      <w:r w:rsidR="00900E1F">
        <w:rPr>
          <w:rFonts w:asciiTheme="minorHAnsi" w:hAnsiTheme="minorHAnsi"/>
          <w:color w:val="auto"/>
          <w:sz w:val="22"/>
          <w:szCs w:val="22"/>
        </w:rPr>
        <w:tab/>
      </w:r>
      <w:r w:rsidR="00F6278F">
        <w:rPr>
          <w:rFonts w:asciiTheme="minorHAnsi" w:hAnsiTheme="minorHAnsi"/>
          <w:color w:val="auto"/>
          <w:sz w:val="22"/>
          <w:szCs w:val="22"/>
        </w:rPr>
        <w:t>obtain</w:t>
      </w:r>
      <w:r w:rsidRPr="002C307B">
        <w:rPr>
          <w:rFonts w:asciiTheme="minorHAnsi" w:hAnsiTheme="minorHAnsi"/>
          <w:color w:val="auto"/>
          <w:sz w:val="22"/>
          <w:szCs w:val="22"/>
        </w:rPr>
        <w:t xml:space="preserve"> a National Provider Identifier (NPI) via the </w:t>
      </w:r>
      <w:r w:rsidRPr="002C307B">
        <w:rPr>
          <w:rStyle w:val="st1"/>
          <w:rFonts w:asciiTheme="minorHAnsi" w:hAnsiTheme="minorHAnsi" w:cs="Arial"/>
          <w:color w:val="auto"/>
          <w:sz w:val="22"/>
          <w:szCs w:val="22"/>
        </w:rPr>
        <w:t>National Plan &amp; Provider Enumeration System (</w:t>
      </w:r>
      <w:r w:rsidRPr="002C307B">
        <w:rPr>
          <w:rFonts w:asciiTheme="minorHAnsi" w:hAnsiTheme="minorHAnsi"/>
          <w:color w:val="auto"/>
          <w:sz w:val="22"/>
          <w:szCs w:val="22"/>
        </w:rPr>
        <w:t xml:space="preserve">NPPES), </w:t>
      </w:r>
      <w:r w:rsidR="00FA44A5" w:rsidRPr="00FA44A5">
        <w:rPr>
          <w:rFonts w:asciiTheme="minorHAnsi" w:hAnsiTheme="minorHAnsi"/>
          <w:color w:val="auto"/>
          <w:sz w:val="22"/>
          <w:szCs w:val="22"/>
          <w:u w:val="single"/>
        </w:rPr>
        <w:t>then</w:t>
      </w:r>
    </w:p>
    <w:p w:rsidR="00F6278F" w:rsidRDefault="00FA44A5" w:rsidP="00900E1F">
      <w:pPr>
        <w:pStyle w:val="Default"/>
        <w:ind w:left="450" w:hanging="270"/>
        <w:rPr>
          <w:rFonts w:asciiTheme="minorHAnsi" w:hAnsiTheme="minorHAnsi"/>
          <w:color w:val="auto"/>
          <w:sz w:val="22"/>
          <w:szCs w:val="22"/>
        </w:rPr>
      </w:pPr>
      <w:r>
        <w:rPr>
          <w:rFonts w:asciiTheme="minorHAnsi" w:hAnsiTheme="minorHAnsi"/>
          <w:color w:val="auto"/>
          <w:sz w:val="22"/>
          <w:szCs w:val="22"/>
        </w:rPr>
        <w:t>2)</w:t>
      </w:r>
      <w:r>
        <w:rPr>
          <w:rFonts w:asciiTheme="minorHAnsi" w:hAnsiTheme="minorHAnsi"/>
          <w:color w:val="auto"/>
          <w:sz w:val="22"/>
          <w:szCs w:val="22"/>
        </w:rPr>
        <w:tab/>
      </w:r>
      <w:r w:rsidR="00154A32" w:rsidRPr="002C307B">
        <w:rPr>
          <w:rFonts w:asciiTheme="minorHAnsi" w:hAnsiTheme="minorHAnsi"/>
          <w:color w:val="auto"/>
          <w:sz w:val="22"/>
          <w:szCs w:val="22"/>
        </w:rPr>
        <w:t>enroll</w:t>
      </w:r>
      <w:r w:rsidR="00227DCB" w:rsidRPr="002C307B">
        <w:rPr>
          <w:rFonts w:asciiTheme="minorHAnsi" w:hAnsiTheme="minorHAnsi"/>
          <w:color w:val="auto"/>
          <w:sz w:val="22"/>
          <w:szCs w:val="22"/>
        </w:rPr>
        <w:t xml:space="preserve"> </w:t>
      </w:r>
      <w:r w:rsidR="008B0CA1" w:rsidRPr="002C307B">
        <w:rPr>
          <w:rFonts w:asciiTheme="minorHAnsi" w:hAnsiTheme="minorHAnsi"/>
          <w:color w:val="auto"/>
          <w:sz w:val="22"/>
          <w:szCs w:val="22"/>
        </w:rPr>
        <w:t xml:space="preserve">using the appropriate CMS-855 form </w:t>
      </w:r>
      <w:r w:rsidR="00227DCB" w:rsidRPr="002C307B">
        <w:rPr>
          <w:rFonts w:asciiTheme="minorHAnsi" w:hAnsiTheme="minorHAnsi"/>
          <w:color w:val="auto"/>
          <w:sz w:val="22"/>
          <w:szCs w:val="22"/>
        </w:rPr>
        <w:t xml:space="preserve">via </w:t>
      </w:r>
      <w:r w:rsidR="00505D74" w:rsidRPr="002C307B">
        <w:rPr>
          <w:rFonts w:asciiTheme="minorHAnsi" w:hAnsiTheme="minorHAnsi"/>
          <w:color w:val="auto"/>
          <w:sz w:val="22"/>
          <w:szCs w:val="22"/>
        </w:rPr>
        <w:t xml:space="preserve">the </w:t>
      </w:r>
      <w:r w:rsidR="00227DCB" w:rsidRPr="002C307B">
        <w:rPr>
          <w:rFonts w:asciiTheme="minorHAnsi" w:hAnsiTheme="minorHAnsi"/>
          <w:color w:val="auto"/>
          <w:sz w:val="22"/>
          <w:szCs w:val="22"/>
        </w:rPr>
        <w:t>Provider, Enrollment, Chain and Ownership System</w:t>
      </w:r>
      <w:r w:rsidR="00505D74" w:rsidRPr="002C307B">
        <w:rPr>
          <w:rFonts w:asciiTheme="minorHAnsi" w:hAnsiTheme="minorHAnsi"/>
          <w:color w:val="auto"/>
          <w:sz w:val="22"/>
          <w:szCs w:val="22"/>
        </w:rPr>
        <w:t xml:space="preserve"> (PECOS</w:t>
      </w:r>
      <w:r w:rsidR="00227DCB" w:rsidRPr="002C307B">
        <w:rPr>
          <w:rFonts w:asciiTheme="minorHAnsi" w:hAnsiTheme="minorHAnsi"/>
          <w:color w:val="auto"/>
          <w:sz w:val="22"/>
          <w:szCs w:val="22"/>
        </w:rPr>
        <w:t>)</w:t>
      </w:r>
      <w:r>
        <w:rPr>
          <w:rFonts w:asciiTheme="minorHAnsi" w:hAnsiTheme="minorHAnsi"/>
          <w:color w:val="auto"/>
          <w:sz w:val="22"/>
          <w:szCs w:val="22"/>
        </w:rPr>
        <w:t>.</w:t>
      </w:r>
    </w:p>
    <w:p w:rsidR="00F6278F" w:rsidRDefault="00F6278F" w:rsidP="000C729A">
      <w:pPr>
        <w:pStyle w:val="Default"/>
        <w:rPr>
          <w:rFonts w:asciiTheme="minorHAnsi" w:hAnsiTheme="minorHAnsi"/>
          <w:color w:val="auto"/>
          <w:sz w:val="22"/>
          <w:szCs w:val="22"/>
        </w:rPr>
      </w:pPr>
    </w:p>
    <w:p w:rsidR="00F6278F" w:rsidRDefault="00F6278F" w:rsidP="00F6278F">
      <w:r w:rsidRPr="003E2C61">
        <w:t>There are two types of</w:t>
      </w:r>
      <w:r>
        <w:t xml:space="preserve"> NPI</w:t>
      </w:r>
      <w:r w:rsidRPr="003E2C61">
        <w:t xml:space="preserve">: </w:t>
      </w:r>
      <w:r w:rsidR="00E24501">
        <w:t xml:space="preserve"> </w:t>
      </w:r>
      <w:r w:rsidRPr="003E2C61">
        <w:t xml:space="preserve">Type 1 </w:t>
      </w:r>
      <w:r>
        <w:t xml:space="preserve">(individual) </w:t>
      </w:r>
      <w:r w:rsidRPr="003E2C61">
        <w:t>and Type 2</w:t>
      </w:r>
      <w:r>
        <w:t xml:space="preserve"> (</w:t>
      </w:r>
      <w:r w:rsidRPr="003E2C61">
        <w:t>organization</w:t>
      </w:r>
      <w:r>
        <w:t>)</w:t>
      </w:r>
      <w:r w:rsidRPr="003E2C61">
        <w:t>.</w:t>
      </w:r>
      <w:r>
        <w:t xml:space="preserve">  RHCs bill Medicare under a clinic </w:t>
      </w:r>
      <w:r w:rsidR="00E24501">
        <w:t xml:space="preserve">Type 2 </w:t>
      </w:r>
      <w:r>
        <w:t>NPI</w:t>
      </w:r>
      <w:r w:rsidRPr="00653FA6">
        <w:t>.</w:t>
      </w:r>
    </w:p>
    <w:p w:rsidR="00F6278F" w:rsidRDefault="00F6278F" w:rsidP="005B79D9">
      <w:pPr>
        <w:spacing w:after="40"/>
      </w:pPr>
      <w:r>
        <w:t xml:space="preserve">Clinicians and facilities submit CMS-855 enrollment forms </w:t>
      </w:r>
      <w:r w:rsidR="00FE02B5">
        <w:t xml:space="preserve">through PECOS </w:t>
      </w:r>
      <w:r>
        <w:t>according to their situation:</w:t>
      </w:r>
    </w:p>
    <w:p w:rsidR="00F6278F" w:rsidRDefault="00F6278F" w:rsidP="005B79D9">
      <w:pPr>
        <w:pStyle w:val="ListParagraph"/>
        <w:numPr>
          <w:ilvl w:val="0"/>
          <w:numId w:val="8"/>
        </w:numPr>
        <w:spacing w:after="40"/>
        <w:ind w:left="450" w:hanging="270"/>
      </w:pPr>
      <w:r>
        <w:t xml:space="preserve">855A is </w:t>
      </w:r>
      <w:r w:rsidR="00FE02B5">
        <w:t>for facilities such as</w:t>
      </w:r>
      <w:r>
        <w:t xml:space="preserve"> RHCs</w:t>
      </w:r>
    </w:p>
    <w:p w:rsidR="00F6278F" w:rsidRDefault="00F6278F" w:rsidP="005B79D9">
      <w:pPr>
        <w:pStyle w:val="ListParagraph"/>
        <w:numPr>
          <w:ilvl w:val="0"/>
          <w:numId w:val="8"/>
        </w:numPr>
        <w:spacing w:after="40"/>
        <w:ind w:left="450" w:hanging="270"/>
      </w:pPr>
      <w:r>
        <w:t xml:space="preserve">855I is </w:t>
      </w:r>
      <w:r w:rsidR="00FE02B5">
        <w:t xml:space="preserve">for </w:t>
      </w:r>
      <w:r>
        <w:t>individual clinician</w:t>
      </w:r>
      <w:r w:rsidR="00FE02B5">
        <w:t>s</w:t>
      </w:r>
      <w:r>
        <w:t xml:space="preserve"> </w:t>
      </w:r>
      <w:r w:rsidR="00FE02B5">
        <w:t>for Part B services</w:t>
      </w:r>
    </w:p>
    <w:p w:rsidR="00F6278F" w:rsidRDefault="00F6278F" w:rsidP="005B79D9">
      <w:pPr>
        <w:pStyle w:val="ListParagraph"/>
        <w:numPr>
          <w:ilvl w:val="0"/>
          <w:numId w:val="8"/>
        </w:numPr>
        <w:spacing w:after="40"/>
        <w:ind w:left="450" w:hanging="270"/>
      </w:pPr>
      <w:r>
        <w:t>855B is a group practice form</w:t>
      </w:r>
    </w:p>
    <w:p w:rsidR="00F6278F" w:rsidRDefault="00F6278F" w:rsidP="005B79D9">
      <w:pPr>
        <w:pStyle w:val="ListParagraph"/>
        <w:numPr>
          <w:ilvl w:val="0"/>
          <w:numId w:val="8"/>
        </w:numPr>
        <w:spacing w:after="40"/>
        <w:ind w:left="450" w:hanging="270"/>
      </w:pPr>
      <w:r>
        <w:t xml:space="preserve">855R is </w:t>
      </w:r>
      <w:r w:rsidR="00FE02B5">
        <w:t>used to reassign</w:t>
      </w:r>
      <w:r>
        <w:t xml:space="preserve"> billing privileges</w:t>
      </w:r>
    </w:p>
    <w:p w:rsidR="00F6278F" w:rsidRDefault="00F6278F" w:rsidP="00FE02B5">
      <w:pPr>
        <w:pStyle w:val="ListParagraph"/>
        <w:numPr>
          <w:ilvl w:val="0"/>
          <w:numId w:val="8"/>
        </w:numPr>
        <w:ind w:left="450" w:hanging="270"/>
      </w:pPr>
      <w:r>
        <w:t>855O is an individual form for clinicians who do not bill Medicare Part B, but need to order and refer</w:t>
      </w:r>
      <w:r w:rsidR="007139AF">
        <w:t>.</w:t>
      </w:r>
      <w:r>
        <w:t>*</w:t>
      </w:r>
    </w:p>
    <w:p w:rsidR="00FE02B5" w:rsidRDefault="00FE02B5" w:rsidP="00F6278F"/>
    <w:p w:rsidR="00FE02B5" w:rsidRDefault="00F6278F" w:rsidP="00F6278F">
      <w:r>
        <w:t xml:space="preserve">An RHC </w:t>
      </w:r>
      <w:r w:rsidR="00900E1F">
        <w:t xml:space="preserve">typically </w:t>
      </w:r>
      <w:r>
        <w:t xml:space="preserve">enrolls </w:t>
      </w:r>
      <w:r w:rsidR="00FE02B5">
        <w:t>twice:</w:t>
      </w:r>
    </w:p>
    <w:p w:rsidR="00274048" w:rsidRDefault="00F6278F" w:rsidP="00F6278F">
      <w:pPr>
        <w:pStyle w:val="ListParagraph"/>
        <w:numPr>
          <w:ilvl w:val="0"/>
          <w:numId w:val="9"/>
        </w:numPr>
        <w:ind w:left="450" w:hanging="270"/>
      </w:pPr>
      <w:r>
        <w:t>an 855A</w:t>
      </w:r>
      <w:r w:rsidR="00FE02B5">
        <w:t xml:space="preserve"> </w:t>
      </w:r>
      <w:r w:rsidR="00274048">
        <w:t>to receive</w:t>
      </w:r>
      <w:r w:rsidR="00FE02B5">
        <w:t xml:space="preserve"> a </w:t>
      </w:r>
      <w:r w:rsidR="00FE02B5" w:rsidRPr="00274048">
        <w:rPr>
          <w:rStyle w:val="ft"/>
          <w:rFonts w:cs="Arial"/>
          <w:bCs/>
        </w:rPr>
        <w:t>CMS Certification Number (</w:t>
      </w:r>
      <w:r w:rsidR="00FE02B5" w:rsidRPr="00F6278F">
        <w:t>CCN; formerly the Medicare/Medicaid Provider Number or OSCAR Provider Number)</w:t>
      </w:r>
      <w:r w:rsidR="00FE02B5">
        <w:t xml:space="preserve">, which </w:t>
      </w:r>
      <w:r w:rsidR="00900E1F">
        <w:t xml:space="preserve">facilitates </w:t>
      </w:r>
      <w:r>
        <w:t xml:space="preserve">RHC </w:t>
      </w:r>
      <w:r w:rsidR="00FE02B5">
        <w:t>claims</w:t>
      </w:r>
      <w:r w:rsidR="00274048">
        <w:t>; and</w:t>
      </w:r>
    </w:p>
    <w:p w:rsidR="00F6278F" w:rsidRDefault="00F6278F" w:rsidP="00F6278F">
      <w:pPr>
        <w:pStyle w:val="ListParagraph"/>
        <w:numPr>
          <w:ilvl w:val="0"/>
          <w:numId w:val="9"/>
        </w:numPr>
        <w:ind w:left="450" w:hanging="270"/>
      </w:pPr>
      <w:r>
        <w:t xml:space="preserve">an 855B to </w:t>
      </w:r>
      <w:r w:rsidR="00274048">
        <w:t xml:space="preserve">receive </w:t>
      </w:r>
      <w:r w:rsidR="00274048" w:rsidRPr="002C307B">
        <w:t xml:space="preserve">a </w:t>
      </w:r>
      <w:r w:rsidR="00274048" w:rsidRPr="00274048">
        <w:rPr>
          <w:rStyle w:val="st1"/>
          <w:rFonts w:cs="Arial"/>
        </w:rPr>
        <w:t>Provider Transaction Access Number (</w:t>
      </w:r>
      <w:r w:rsidR="00274048" w:rsidRPr="002C307B">
        <w:t xml:space="preserve">PTAN; </w:t>
      </w:r>
      <w:r w:rsidR="00274048" w:rsidRPr="00274048">
        <w:rPr>
          <w:rFonts w:cs="Arial"/>
        </w:rPr>
        <w:t>frequently called the "legacy provider ID number" or "Medicare PIN"</w:t>
      </w:r>
      <w:r w:rsidR="00274048" w:rsidRPr="00F6278F">
        <w:t>)</w:t>
      </w:r>
      <w:r w:rsidR="00274048">
        <w:t xml:space="preserve">, which </w:t>
      </w:r>
      <w:r w:rsidR="00900E1F">
        <w:t xml:space="preserve">facilitates </w:t>
      </w:r>
      <w:r w:rsidR="00FE02B5">
        <w:t xml:space="preserve">claims for </w:t>
      </w:r>
      <w:r>
        <w:t>non-RHC services</w:t>
      </w:r>
      <w:r w:rsidR="00FE02B5">
        <w:t xml:space="preserve"> (e.g., lab</w:t>
      </w:r>
      <w:r w:rsidR="00274048">
        <w:t>s</w:t>
      </w:r>
      <w:r w:rsidR="00FE02B5">
        <w:t xml:space="preserve"> and diagnostic</w:t>
      </w:r>
      <w:r w:rsidR="00274048">
        <w:t xml:space="preserve"> tests</w:t>
      </w:r>
      <w:r w:rsidR="00FE02B5">
        <w:t>)</w:t>
      </w:r>
      <w:r>
        <w:t>.</w:t>
      </w:r>
    </w:p>
    <w:p w:rsidR="00F6278F" w:rsidRDefault="00F6278F" w:rsidP="00F6278F"/>
    <w:p w:rsidR="00274048" w:rsidRDefault="00274048" w:rsidP="00F6278F">
      <w:r>
        <w:t>An RHC clinician also typically completes two forms:</w:t>
      </w:r>
    </w:p>
    <w:p w:rsidR="00274048" w:rsidRDefault="00F6278F" w:rsidP="00274048">
      <w:pPr>
        <w:pStyle w:val="ListParagraph"/>
        <w:numPr>
          <w:ilvl w:val="0"/>
          <w:numId w:val="10"/>
        </w:numPr>
        <w:ind w:left="450" w:hanging="270"/>
      </w:pPr>
      <w:r>
        <w:t>a</w:t>
      </w:r>
      <w:r w:rsidR="00FE02B5">
        <w:t>n</w:t>
      </w:r>
      <w:r>
        <w:t xml:space="preserve"> 855I </w:t>
      </w:r>
      <w:r w:rsidR="00274048">
        <w:t xml:space="preserve">to receive a PTAN; and </w:t>
      </w:r>
    </w:p>
    <w:p w:rsidR="00F6278F" w:rsidRDefault="00F6278F" w:rsidP="00274048">
      <w:pPr>
        <w:pStyle w:val="ListParagraph"/>
        <w:numPr>
          <w:ilvl w:val="0"/>
          <w:numId w:val="10"/>
        </w:numPr>
        <w:ind w:left="450" w:hanging="270"/>
      </w:pPr>
      <w:r>
        <w:t xml:space="preserve">an 855R to reassign billing privileges </w:t>
      </w:r>
      <w:r w:rsidR="00AA7020">
        <w:t xml:space="preserve">established via the 855I enrollment </w:t>
      </w:r>
      <w:r>
        <w:t>to the RHC</w:t>
      </w:r>
      <w:r w:rsidR="00FE02B5">
        <w:t xml:space="preserve"> 855B group entity</w:t>
      </w:r>
      <w:r w:rsidR="006254AF">
        <w:t xml:space="preserve"> to </w:t>
      </w:r>
      <w:r w:rsidR="00AA7020">
        <w:t xml:space="preserve">facilitate </w:t>
      </w:r>
      <w:r w:rsidR="006254AF">
        <w:t>non-RHC claims</w:t>
      </w:r>
      <w:r w:rsidR="00FE02B5">
        <w:t>.</w:t>
      </w:r>
    </w:p>
    <w:p w:rsidR="001457A1" w:rsidRPr="001457A1" w:rsidRDefault="001457A1" w:rsidP="007139AF">
      <w:pPr>
        <w:spacing w:before="120"/>
        <w:ind w:left="187"/>
      </w:pPr>
      <w:r>
        <w:t xml:space="preserve">RHC </w:t>
      </w:r>
      <w:r w:rsidRPr="001457A1">
        <w:t xml:space="preserve">clinicians do not </w:t>
      </w:r>
      <w:r w:rsidR="007139AF">
        <w:t xml:space="preserve">need to </w:t>
      </w:r>
      <w:r w:rsidRPr="001457A1">
        <w:t xml:space="preserve">reassign benefits to the RHC </w:t>
      </w:r>
      <w:r w:rsidR="007139AF">
        <w:t>(</w:t>
      </w:r>
      <w:r>
        <w:t>855</w:t>
      </w:r>
      <w:r w:rsidRPr="001457A1">
        <w:t>A</w:t>
      </w:r>
      <w:r w:rsidR="007139AF">
        <w:t>)</w:t>
      </w:r>
      <w:r w:rsidR="008B1127">
        <w:t>.</w:t>
      </w:r>
    </w:p>
    <w:p w:rsidR="001457A1" w:rsidRDefault="001457A1" w:rsidP="00F6278F"/>
    <w:p w:rsidR="0035787B" w:rsidRPr="0035787B" w:rsidRDefault="0035787B" w:rsidP="00F6278F">
      <w:pPr>
        <w:rPr>
          <w:i/>
        </w:rPr>
      </w:pPr>
      <w:r w:rsidRPr="0035787B">
        <w:rPr>
          <w:i/>
        </w:rPr>
        <w:t>NOTE:  Medicare is working to revise and simplify all of the 855 enrollment forms by the end of 2013.</w:t>
      </w:r>
    </w:p>
    <w:p w:rsidR="0035787B" w:rsidRDefault="0035787B" w:rsidP="00F6278F"/>
    <w:p w:rsidR="00F6278F" w:rsidRPr="001406E6" w:rsidRDefault="00F6278F" w:rsidP="00F6278F">
      <w:pPr>
        <w:rPr>
          <w:sz w:val="20"/>
          <w:szCs w:val="20"/>
        </w:rPr>
      </w:pPr>
      <w:r w:rsidRPr="001406E6">
        <w:rPr>
          <w:sz w:val="20"/>
          <w:szCs w:val="20"/>
        </w:rPr>
        <w:t>*Section 6405 of the Affordable Care Act requires that all clinicians who refer beneficiaries to other providers or order services (lab, home health, DME, etc.) be enrolled</w:t>
      </w:r>
      <w:r>
        <w:rPr>
          <w:sz w:val="20"/>
          <w:szCs w:val="20"/>
        </w:rPr>
        <w:t>.</w:t>
      </w:r>
      <w:r w:rsidRPr="001406E6">
        <w:rPr>
          <w:sz w:val="20"/>
          <w:szCs w:val="20"/>
        </w:rPr>
        <w:t xml:space="preserve">  Medicare will not compensate providers for referrals or services ordered by a non-enrolled clinician.  </w:t>
      </w:r>
      <w:r w:rsidR="00AA7020">
        <w:rPr>
          <w:sz w:val="20"/>
          <w:szCs w:val="20"/>
        </w:rPr>
        <w:t xml:space="preserve">Because </w:t>
      </w:r>
      <w:r w:rsidR="006254AF">
        <w:rPr>
          <w:sz w:val="20"/>
          <w:szCs w:val="20"/>
        </w:rPr>
        <w:t>RHC clinicians generally require billing privileges</w:t>
      </w:r>
      <w:r w:rsidR="00AA7020">
        <w:rPr>
          <w:sz w:val="20"/>
          <w:szCs w:val="20"/>
        </w:rPr>
        <w:t xml:space="preserve"> for </w:t>
      </w:r>
      <w:r w:rsidR="006254AF">
        <w:rPr>
          <w:sz w:val="20"/>
          <w:szCs w:val="20"/>
        </w:rPr>
        <w:t xml:space="preserve">non-RHC </w:t>
      </w:r>
      <w:r w:rsidR="00AA7020">
        <w:rPr>
          <w:sz w:val="20"/>
          <w:szCs w:val="20"/>
        </w:rPr>
        <w:t>services</w:t>
      </w:r>
      <w:r w:rsidR="006254AF">
        <w:rPr>
          <w:sz w:val="20"/>
          <w:szCs w:val="20"/>
        </w:rPr>
        <w:t>, the 855O is typically not an option.</w:t>
      </w:r>
    </w:p>
    <w:p w:rsidR="00AC46C9" w:rsidRDefault="00AC46C9" w:rsidP="00AC46C9"/>
    <w:p w:rsidR="00AC46C9" w:rsidRPr="00481A93" w:rsidRDefault="00AC46C9" w:rsidP="00AC46C9">
      <w:r w:rsidRPr="00481A93">
        <w:rPr>
          <w:b/>
          <w:bCs/>
          <w:iCs/>
        </w:rPr>
        <w:t>CMS Certification Numbers</w:t>
      </w:r>
      <w:r>
        <w:rPr>
          <w:b/>
          <w:bCs/>
          <w:iCs/>
        </w:rPr>
        <w:t xml:space="preserve"> (CCNs)</w:t>
      </w:r>
    </w:p>
    <w:p w:rsidR="00AC46C9" w:rsidRPr="00481A93" w:rsidRDefault="00AC46C9" w:rsidP="00455ED7">
      <w:pPr>
        <w:spacing w:after="120"/>
      </w:pPr>
      <w:r w:rsidRPr="00481A93">
        <w:rPr>
          <w:iCs/>
        </w:rPr>
        <w:t xml:space="preserve">The CCN </w:t>
      </w:r>
      <w:r>
        <w:rPr>
          <w:iCs/>
        </w:rPr>
        <w:t xml:space="preserve">is a six-digit number </w:t>
      </w:r>
      <w:r w:rsidRPr="00481A93">
        <w:rPr>
          <w:iCs/>
        </w:rPr>
        <w:t>used to verify Medicare/Medicaid certification for survey and certification, assessment-related activities</w:t>
      </w:r>
      <w:r>
        <w:rPr>
          <w:iCs/>
        </w:rPr>
        <w:t>,</w:t>
      </w:r>
      <w:r w:rsidRPr="00481A93">
        <w:rPr>
          <w:iCs/>
        </w:rPr>
        <w:t xml:space="preserve"> and communications.</w:t>
      </w:r>
      <w:r>
        <w:rPr>
          <w:iCs/>
        </w:rPr>
        <w:t xml:space="preserve">  The first two digits indicate the state </w:t>
      </w:r>
      <w:r w:rsidRPr="00481A93">
        <w:t>in which the provider is located. The last 4 digits identify the type of facility.</w:t>
      </w:r>
    </w:p>
    <w:p w:rsidR="00AC46C9" w:rsidRPr="00481A93" w:rsidRDefault="00AC46C9" w:rsidP="00455ED7">
      <w:pPr>
        <w:tabs>
          <w:tab w:val="left" w:pos="3060"/>
        </w:tabs>
        <w:spacing w:after="60"/>
        <w:ind w:left="360"/>
      </w:pPr>
      <w:r w:rsidRPr="00481A93">
        <w:t>3800-3974</w:t>
      </w:r>
      <w:r>
        <w:t xml:space="preserve"> and </w:t>
      </w:r>
      <w:r w:rsidRPr="00481A93">
        <w:t xml:space="preserve">8900-8999 </w:t>
      </w:r>
      <w:r w:rsidRPr="00481A93">
        <w:tab/>
        <w:t xml:space="preserve">Rural Health Clinics (Free-Standing) </w:t>
      </w:r>
    </w:p>
    <w:p w:rsidR="00AC46C9" w:rsidRPr="00481A93" w:rsidRDefault="00AC46C9" w:rsidP="005440A6">
      <w:pPr>
        <w:tabs>
          <w:tab w:val="left" w:pos="3060"/>
        </w:tabs>
        <w:ind w:left="360"/>
      </w:pPr>
      <w:r w:rsidRPr="00481A93">
        <w:t xml:space="preserve">3975-3999 </w:t>
      </w:r>
      <w:r>
        <w:t xml:space="preserve">and </w:t>
      </w:r>
      <w:r w:rsidRPr="00481A93">
        <w:t>8500-8899</w:t>
      </w:r>
      <w:r w:rsidRPr="00481A93">
        <w:tab/>
        <w:t xml:space="preserve">Rural </w:t>
      </w:r>
      <w:r w:rsidR="00455ED7">
        <w:t>Health Clinics (Provider-Based)</w:t>
      </w:r>
    </w:p>
    <w:p w:rsidR="00F6278F" w:rsidRPr="00F6278F" w:rsidRDefault="00F6278F" w:rsidP="00F6278F">
      <w:pPr>
        <w:rPr>
          <w:color w:val="FF0000"/>
        </w:rPr>
      </w:pPr>
    </w:p>
    <w:p w:rsidR="00A3631C" w:rsidRPr="00A3631C" w:rsidRDefault="00A3631C">
      <w:pPr>
        <w:rPr>
          <w:b/>
        </w:rPr>
      </w:pPr>
      <w:r w:rsidRPr="00A3631C">
        <w:rPr>
          <w:b/>
        </w:rPr>
        <w:t>Clinic Types</w:t>
      </w:r>
    </w:p>
    <w:p w:rsidR="00BE6EB1" w:rsidRDefault="00A3631C" w:rsidP="00A3631C">
      <w:r>
        <w:t xml:space="preserve">RHCs </w:t>
      </w:r>
      <w:r w:rsidR="000542BB">
        <w:t xml:space="preserve">are </w:t>
      </w:r>
      <w:r>
        <w:t>either independent (aka free-standing) or provider-based (mostly hospital-owned</w:t>
      </w:r>
      <w:r w:rsidR="00A95C33">
        <w:t>, but also nursing home</w:t>
      </w:r>
      <w:r w:rsidR="00455ED7">
        <w:t>s</w:t>
      </w:r>
      <w:r w:rsidR="00A95C33">
        <w:t xml:space="preserve"> or home health agencies</w:t>
      </w:r>
      <w:r>
        <w:t>).</w:t>
      </w:r>
      <w:r w:rsidR="000542BB">
        <w:t xml:space="preserve">  Hospitals can own and operate </w:t>
      </w:r>
      <w:r w:rsidR="00BE6EB1">
        <w:t xml:space="preserve">provider-based and/or </w:t>
      </w:r>
      <w:r w:rsidR="000542BB">
        <w:t>independent RHCs.</w:t>
      </w:r>
      <w:r w:rsidR="008E1103">
        <w:t xml:space="preserve">  </w:t>
      </w:r>
      <w:r w:rsidR="00BE6EB1">
        <w:t>Provider-based RHCs must be financially and operationally integrated units of the parent entity.  There are proximity restrictions (35 miles) for provider-based RHCs, except for those of CAHs and rural (non-MSA) hospitals with fewer than 50 beds.</w:t>
      </w:r>
    </w:p>
    <w:p w:rsidR="00BE6EB1" w:rsidRDefault="00BE6EB1" w:rsidP="00A3631C"/>
    <w:p w:rsidR="00FF38E8" w:rsidRDefault="00A3631C" w:rsidP="00A3631C">
      <w:r w:rsidRPr="00A3631C">
        <w:t>RHC</w:t>
      </w:r>
      <w:r>
        <w:t>s</w:t>
      </w:r>
      <w:r w:rsidRPr="00A3631C">
        <w:t xml:space="preserve"> can be gender and age specific</w:t>
      </w:r>
      <w:r>
        <w:t xml:space="preserve"> (e.g., </w:t>
      </w:r>
      <w:r w:rsidRPr="00A3631C">
        <w:t>pediatric-only</w:t>
      </w:r>
      <w:r>
        <w:t>,</w:t>
      </w:r>
      <w:r w:rsidRPr="00A3631C">
        <w:t xml:space="preserve"> adult-only</w:t>
      </w:r>
      <w:r>
        <w:t xml:space="preserve">, or </w:t>
      </w:r>
      <w:proofErr w:type="spellStart"/>
      <w:r w:rsidRPr="00A3631C">
        <w:t>OB-Gyn</w:t>
      </w:r>
      <w:proofErr w:type="spellEnd"/>
      <w:r>
        <w:t>) as long as the majority of care provided is primary care.</w:t>
      </w:r>
    </w:p>
    <w:p w:rsidR="00FF38E8" w:rsidRDefault="00FF38E8" w:rsidP="00A3631C"/>
    <w:p w:rsidR="009C02C9" w:rsidRPr="00A3631C" w:rsidRDefault="009C02C9" w:rsidP="00A3631C">
      <w:r>
        <w:t>RHCs can be p</w:t>
      </w:r>
      <w:r w:rsidR="008E1103">
        <w:t>ublic, nonprofit, or for-profit.</w:t>
      </w:r>
    </w:p>
    <w:p w:rsidR="00CF70F2" w:rsidRDefault="00CF70F2"/>
    <w:p w:rsidR="00E64543" w:rsidRPr="00CD3D3B" w:rsidRDefault="00CD3D3B">
      <w:pPr>
        <w:rPr>
          <w:b/>
        </w:rPr>
      </w:pPr>
      <w:r w:rsidRPr="00CD3D3B">
        <w:rPr>
          <w:b/>
        </w:rPr>
        <w:lastRenderedPageBreak/>
        <w:t>Practitioners</w:t>
      </w:r>
    </w:p>
    <w:p w:rsidR="00B576A3" w:rsidRDefault="00CD3D3B" w:rsidP="00B576A3">
      <w:r>
        <w:t xml:space="preserve">Recognized RHC practitioners include </w:t>
      </w:r>
      <w:r w:rsidR="00B576A3">
        <w:t>a physician (</w:t>
      </w:r>
      <w:r>
        <w:t xml:space="preserve">MD, DO, </w:t>
      </w:r>
      <w:r w:rsidR="00220F6D">
        <w:t xml:space="preserve">some DC and DPM, </w:t>
      </w:r>
      <w:r w:rsidR="00B576A3">
        <w:t xml:space="preserve">etc.), </w:t>
      </w:r>
      <w:r>
        <w:t xml:space="preserve">PA, NP, CNM, </w:t>
      </w:r>
      <w:r w:rsidR="00177CE1">
        <w:t xml:space="preserve">CP, and </w:t>
      </w:r>
      <w:r w:rsidR="002D6F38">
        <w:t>CSW</w:t>
      </w:r>
      <w:r>
        <w:t>.</w:t>
      </w:r>
      <w:r w:rsidR="00B576A3">
        <w:t xml:space="preserve">  </w:t>
      </w:r>
      <w:r w:rsidR="00EC058E">
        <w:t xml:space="preserve">Practitioners may only provide services covered by Medicare (some </w:t>
      </w:r>
      <w:r w:rsidR="00B576A3">
        <w:t>specialist</w:t>
      </w:r>
      <w:r w:rsidR="00EC058E">
        <w:t>s</w:t>
      </w:r>
      <w:r w:rsidR="00B576A3">
        <w:t xml:space="preserve"> </w:t>
      </w:r>
      <w:r w:rsidR="00EC058E">
        <w:t>are limited in the services they may provide).</w:t>
      </w:r>
      <w:r w:rsidR="00177CE1">
        <w:t xml:space="preserve">  CPs and CSWs must have specific </w:t>
      </w:r>
      <w:r w:rsidR="00F051E4">
        <w:t>education, licensing, and experience</w:t>
      </w:r>
      <w:r w:rsidR="00177CE1">
        <w:t>.</w:t>
      </w:r>
    </w:p>
    <w:p w:rsidR="00A95C33" w:rsidRDefault="00A95C33" w:rsidP="00B576A3"/>
    <w:p w:rsidR="00A95C33" w:rsidRPr="00A95C33" w:rsidRDefault="00270738" w:rsidP="00A95C33">
      <w:r>
        <w:t xml:space="preserve">An RHC must employ </w:t>
      </w:r>
      <w:r w:rsidR="00EC058E">
        <w:t xml:space="preserve">at least one </w:t>
      </w:r>
      <w:r>
        <w:t xml:space="preserve">NP or PA.  </w:t>
      </w:r>
      <w:r w:rsidR="00A95C33">
        <w:t xml:space="preserve">An NP, PA, </w:t>
      </w:r>
      <w:r>
        <w:t>and</w:t>
      </w:r>
      <w:r w:rsidR="00A95C33">
        <w:t xml:space="preserve">/or CNM must work at least </w:t>
      </w:r>
      <w:r w:rsidR="00E870EC">
        <w:t xml:space="preserve">50% of </w:t>
      </w:r>
      <w:r w:rsidR="00A95C33">
        <w:t xml:space="preserve">the </w:t>
      </w:r>
      <w:r w:rsidR="00E870EC" w:rsidRPr="00C522A5">
        <w:t>scheduled operating hours</w:t>
      </w:r>
      <w:r w:rsidR="00A95C33">
        <w:t>.</w:t>
      </w:r>
      <w:proofErr w:type="gramStart"/>
      <w:r w:rsidR="00E870EC">
        <w:t>*</w:t>
      </w:r>
      <w:r w:rsidR="004554C3">
        <w:t xml:space="preserve"> </w:t>
      </w:r>
      <w:r w:rsidR="0084235A">
        <w:t xml:space="preserve"> </w:t>
      </w:r>
      <w:r w:rsidR="00A95C33">
        <w:t>If</w:t>
      </w:r>
      <w:proofErr w:type="gramEnd"/>
      <w:r w:rsidR="00A95C33">
        <w:t xml:space="preserve"> a clinic </w:t>
      </w:r>
      <w:r w:rsidR="005B6B8B">
        <w:t xml:space="preserve">has been unable to meet either of these staffing requirements </w:t>
      </w:r>
      <w:r w:rsidR="007139AF">
        <w:t>for 90 days</w:t>
      </w:r>
      <w:r w:rsidR="00A95C33">
        <w:t>,</w:t>
      </w:r>
      <w:r w:rsidR="00C52D44">
        <w:t xml:space="preserve"> </w:t>
      </w:r>
      <w:r w:rsidR="005B6B8B">
        <w:t>i</w:t>
      </w:r>
      <w:r w:rsidR="00C52D44">
        <w:t xml:space="preserve">t </w:t>
      </w:r>
      <w:r w:rsidR="00A95C33">
        <w:t xml:space="preserve">can seek a waiver for up to one year.  The RHC must </w:t>
      </w:r>
      <w:r w:rsidR="00C52D44">
        <w:t xml:space="preserve">have </w:t>
      </w:r>
      <w:r w:rsidR="00A95C33">
        <w:t xml:space="preserve">actively sought to fill the vacancy, and </w:t>
      </w:r>
      <w:r w:rsidR="007139AF">
        <w:t xml:space="preserve">must </w:t>
      </w:r>
      <w:r w:rsidR="00A95C33">
        <w:t xml:space="preserve">continue to do so if a waiver is issued.  To seek a waiver, an RHC must contact the </w:t>
      </w:r>
      <w:hyperlink r:id="rId23" w:history="1">
        <w:r w:rsidR="00A95C33" w:rsidRPr="00CE362A">
          <w:rPr>
            <w:rStyle w:val="Hyperlink"/>
          </w:rPr>
          <w:t>state survey and certification agency</w:t>
        </w:r>
      </w:hyperlink>
      <w:r w:rsidR="004554C3">
        <w:t>.</w:t>
      </w:r>
    </w:p>
    <w:p w:rsidR="00E870EC" w:rsidRDefault="00E870EC"/>
    <w:p w:rsidR="0084235A" w:rsidRDefault="0084235A">
      <w:r>
        <w:t>All personnel included on the cost report – except physicians – must be employed by the RHC, not under contract.</w:t>
      </w:r>
    </w:p>
    <w:p w:rsidR="0084235A" w:rsidRDefault="0084235A"/>
    <w:p w:rsidR="00387AC3" w:rsidRPr="00227ABD" w:rsidRDefault="00387AC3" w:rsidP="00387AC3">
      <w:r>
        <w:t>RHCs are permitted to host non-RHC practitioners</w:t>
      </w:r>
      <w:r w:rsidR="00270738">
        <w:t>, such as</w:t>
      </w:r>
      <w:r>
        <w:t xml:space="preserve"> specialists.  </w:t>
      </w:r>
      <w:r w:rsidR="00CE362A">
        <w:t>T</w:t>
      </w:r>
      <w:r>
        <w:t xml:space="preserve">he RHC must “carve out” (deduct) the </w:t>
      </w:r>
      <w:r w:rsidR="00CE362A">
        <w:t xml:space="preserve">value of </w:t>
      </w:r>
      <w:r>
        <w:t xml:space="preserve">facility and staff expenses </w:t>
      </w:r>
      <w:r w:rsidR="00CE362A">
        <w:t xml:space="preserve">provided the outside practitioner </w:t>
      </w:r>
      <w:r>
        <w:t>on its cost report.</w:t>
      </w:r>
    </w:p>
    <w:p w:rsidR="00387AC3" w:rsidRDefault="00387AC3"/>
    <w:p w:rsidR="00E870EC" w:rsidRPr="00325B3A" w:rsidRDefault="00E870EC">
      <w:pPr>
        <w:rPr>
          <w:sz w:val="20"/>
          <w:szCs w:val="20"/>
        </w:rPr>
      </w:pPr>
      <w:r w:rsidRPr="00E870EC">
        <w:rPr>
          <w:sz w:val="20"/>
          <w:szCs w:val="20"/>
        </w:rPr>
        <w:t>*</w:t>
      </w:r>
      <w:r w:rsidR="0084235A">
        <w:rPr>
          <w:sz w:val="20"/>
          <w:szCs w:val="20"/>
        </w:rPr>
        <w:t>RHC</w:t>
      </w:r>
      <w:r>
        <w:rPr>
          <w:sz w:val="20"/>
          <w:szCs w:val="20"/>
        </w:rPr>
        <w:t xml:space="preserve"> </w:t>
      </w:r>
      <w:r w:rsidRPr="00E870EC">
        <w:rPr>
          <w:sz w:val="20"/>
          <w:szCs w:val="20"/>
        </w:rPr>
        <w:t xml:space="preserve">regulations state </w:t>
      </w:r>
      <w:r>
        <w:rPr>
          <w:sz w:val="20"/>
          <w:szCs w:val="20"/>
        </w:rPr>
        <w:t>60%</w:t>
      </w:r>
      <w:r w:rsidRPr="00E870EC">
        <w:rPr>
          <w:sz w:val="20"/>
          <w:szCs w:val="20"/>
        </w:rPr>
        <w:t>.  The requirement was amended in statute, but CMS has not updated the regulations.</w:t>
      </w:r>
    </w:p>
    <w:p w:rsidR="00325B3A" w:rsidRDefault="00325B3A"/>
    <w:p w:rsidR="00A06C75" w:rsidRPr="00A06C75" w:rsidRDefault="00A06C75">
      <w:pPr>
        <w:rPr>
          <w:b/>
        </w:rPr>
      </w:pPr>
      <w:r w:rsidRPr="00A06C75">
        <w:rPr>
          <w:b/>
        </w:rPr>
        <w:t>Productivity Standards</w:t>
      </w:r>
    </w:p>
    <w:p w:rsidR="00F02161" w:rsidRDefault="00F02161" w:rsidP="00455ED7">
      <w:pPr>
        <w:spacing w:after="120"/>
      </w:pPr>
      <w:r>
        <w:t>RHC practitioners are required to achieve a minimum level of productivity each year, which is implemented via annual cost report reconciliation.  At reconciliation, total reasonable costs are divided by the greater of the number of actual RHC visits or the minimum productivity standards, resulting in the clinic’s effective all-inclusive reimbursement rate.</w:t>
      </w:r>
    </w:p>
    <w:p w:rsidR="00A06C75" w:rsidRPr="00A06C75" w:rsidRDefault="00A06C75" w:rsidP="00455ED7">
      <w:pPr>
        <w:tabs>
          <w:tab w:val="left" w:pos="1800"/>
        </w:tabs>
        <w:spacing w:after="60"/>
        <w:ind w:left="360"/>
      </w:pPr>
      <w:r w:rsidRPr="00A06C75">
        <w:t xml:space="preserve">Physician:  </w:t>
      </w:r>
      <w:r w:rsidR="009C02C9">
        <w:tab/>
      </w:r>
      <w:r w:rsidRPr="00A06C75">
        <w:t>4</w:t>
      </w:r>
      <w:r w:rsidR="00F02161">
        <w:t>,</w:t>
      </w:r>
      <w:r w:rsidRPr="00A06C75">
        <w:t xml:space="preserve">200 visits per year, </w:t>
      </w:r>
      <w:r w:rsidR="00446F3D">
        <w:t>per FTE</w:t>
      </w:r>
    </w:p>
    <w:p w:rsidR="00A06C75" w:rsidRDefault="00A06C75" w:rsidP="00E3250A">
      <w:pPr>
        <w:tabs>
          <w:tab w:val="left" w:pos="1800"/>
        </w:tabs>
        <w:ind w:left="360"/>
      </w:pPr>
      <w:r w:rsidRPr="00A06C75">
        <w:t xml:space="preserve">PA/NP/CNM:  </w:t>
      </w:r>
      <w:r w:rsidR="009C02C9">
        <w:tab/>
      </w:r>
      <w:r w:rsidRPr="00A06C75">
        <w:t>2</w:t>
      </w:r>
      <w:r w:rsidR="00F02161">
        <w:t>,</w:t>
      </w:r>
      <w:r w:rsidRPr="00A06C75">
        <w:t>100 visits per year, p</w:t>
      </w:r>
      <w:r w:rsidR="00446F3D">
        <w:t>e</w:t>
      </w:r>
      <w:r w:rsidRPr="00A06C75">
        <w:t xml:space="preserve">r </w:t>
      </w:r>
      <w:r w:rsidR="00446F3D">
        <w:t>FTE</w:t>
      </w:r>
    </w:p>
    <w:p w:rsidR="00387AC3" w:rsidRDefault="00387AC3" w:rsidP="00A06C75"/>
    <w:p w:rsidR="002045F8" w:rsidRPr="002045F8" w:rsidRDefault="002045F8">
      <w:pPr>
        <w:rPr>
          <w:b/>
        </w:rPr>
      </w:pPr>
      <w:r w:rsidRPr="002045F8">
        <w:rPr>
          <w:b/>
        </w:rPr>
        <w:t>RHC Hours</w:t>
      </w:r>
    </w:p>
    <w:p w:rsidR="00F84B67" w:rsidRDefault="00F84B67">
      <w:r>
        <w:t>RHCs are permitted to have n</w:t>
      </w:r>
      <w:r w:rsidR="00934F77">
        <w:t>on-RHC hours</w:t>
      </w:r>
      <w:r w:rsidR="00227ABD">
        <w:t>, during which practitioners bill Part B for services provided to Medicare beneficiaries.</w:t>
      </w:r>
      <w:r w:rsidR="00CF70F2">
        <w:t xml:space="preserve">  However, clinics must be “primarily engaged” in delivering RHC services </w:t>
      </w:r>
      <w:r w:rsidR="00CF70F2" w:rsidRPr="00AA1357">
        <w:t xml:space="preserve">(which CMS has interpreted to mean </w:t>
      </w:r>
      <w:r w:rsidR="00E311BB" w:rsidRPr="00AA1357">
        <w:t>at least 51% of total hours of operation</w:t>
      </w:r>
      <w:r w:rsidR="00CF70F2" w:rsidRPr="00AA1357">
        <w:t>)</w:t>
      </w:r>
      <w:r w:rsidR="00190DB0">
        <w:t>.</w:t>
      </w:r>
      <w:r w:rsidR="00227ABD">
        <w:t xml:space="preserve">  </w:t>
      </w:r>
      <w:r w:rsidR="00CF70F2">
        <w:t>In addition</w:t>
      </w:r>
      <w:r w:rsidR="00227ABD">
        <w:t>, it is against Medicare regulations to “cherry pick” – i.e., to schedule beneficiar</w:t>
      </w:r>
      <w:r w:rsidR="00190DB0">
        <w:t>y appointments</w:t>
      </w:r>
      <w:r w:rsidR="00227ABD">
        <w:t xml:space="preserve"> during non-RHC hours for procedures with high fee schedule reimbursement (e.g., AWV</w:t>
      </w:r>
      <w:r w:rsidR="00E311BB">
        <w:t>, colonoscopy</w:t>
      </w:r>
      <w:r w:rsidR="00227ABD">
        <w:t>).</w:t>
      </w:r>
      <w:r w:rsidR="00E311BB">
        <w:t xml:space="preserve">  </w:t>
      </w:r>
      <w:r w:rsidR="005F21F4">
        <w:t>It is also a violation of co</w:t>
      </w:r>
      <w:r w:rsidR="00494AE1">
        <w:t>m</w:t>
      </w:r>
      <w:r w:rsidR="005F21F4">
        <w:t>mingling principles to bill Part B physician services during RHC hours, because all clinic costs are included in the all-inclusive rate.</w:t>
      </w:r>
    </w:p>
    <w:p w:rsidR="002C2907" w:rsidRDefault="002C2907"/>
    <w:p w:rsidR="00CD3D3B" w:rsidRPr="00CD3D3B" w:rsidRDefault="00455ED7" w:rsidP="00CD3D3B">
      <w:pPr>
        <w:rPr>
          <w:b/>
        </w:rPr>
      </w:pPr>
      <w:r>
        <w:rPr>
          <w:b/>
        </w:rPr>
        <w:t xml:space="preserve">Patient </w:t>
      </w:r>
      <w:r w:rsidR="00CD3D3B" w:rsidRPr="00CD3D3B">
        <w:rPr>
          <w:b/>
        </w:rPr>
        <w:t>Visit/Encounter</w:t>
      </w:r>
    </w:p>
    <w:p w:rsidR="00CD3D3B" w:rsidRDefault="00CD3D3B" w:rsidP="005F21F4">
      <w:r w:rsidRPr="00CD3D3B">
        <w:t xml:space="preserve">In order for a service to </w:t>
      </w:r>
      <w:r>
        <w:t xml:space="preserve">be </w:t>
      </w:r>
      <w:r w:rsidRPr="00CD3D3B">
        <w:t>billable, it must be a face-to-face encounter for a medically necessary service that is covered by Medicare</w:t>
      </w:r>
      <w:r>
        <w:t xml:space="preserve"> and</w:t>
      </w:r>
      <w:r w:rsidRPr="00CD3D3B">
        <w:t xml:space="preserve"> that requires the level of clinical knowledge and expertise of the RHC professional to perform.</w:t>
      </w:r>
      <w:r w:rsidR="006F697C">
        <w:t xml:space="preserve">  (</w:t>
      </w:r>
      <w:r w:rsidR="005F21F4">
        <w:t>B</w:t>
      </w:r>
      <w:r w:rsidR="006F697C">
        <w:t xml:space="preserve">lood </w:t>
      </w:r>
      <w:r w:rsidR="00F625F5">
        <w:t xml:space="preserve">draws, blood </w:t>
      </w:r>
      <w:r w:rsidR="006F697C">
        <w:t>pressure, prescription</w:t>
      </w:r>
      <w:r w:rsidR="005F21F4">
        <w:t xml:space="preserve"> renewal, injection, suture removal, dressing change, reporting normal test results</w:t>
      </w:r>
      <w:r w:rsidR="006F697C">
        <w:t xml:space="preserve">, etc., don’t qualify.  Exam and/or medical decision making is required.  </w:t>
      </w:r>
      <w:r w:rsidR="00993A9C">
        <w:t>Patient chart d</w:t>
      </w:r>
      <w:r w:rsidR="002C2907">
        <w:t xml:space="preserve">ocumentation </w:t>
      </w:r>
      <w:r w:rsidR="006F697C">
        <w:t>must support the claim.)</w:t>
      </w:r>
    </w:p>
    <w:p w:rsidR="00B4203B" w:rsidRDefault="00B4203B" w:rsidP="00B4203B"/>
    <w:p w:rsidR="00B4203B" w:rsidRDefault="00B46091" w:rsidP="00047375">
      <w:pPr>
        <w:spacing w:after="60"/>
      </w:pPr>
      <w:r>
        <w:t xml:space="preserve">An RHC is </w:t>
      </w:r>
      <w:r w:rsidR="00B4203B">
        <w:t>limit</w:t>
      </w:r>
      <w:r>
        <w:t>ed</w:t>
      </w:r>
      <w:r w:rsidR="00B4203B">
        <w:t xml:space="preserve"> </w:t>
      </w:r>
      <w:r>
        <w:t xml:space="preserve">to </w:t>
      </w:r>
      <w:r w:rsidR="00B4203B">
        <w:t>one billable encounter per patient per day, regardless of the number of providers seen or conditions addressed, except when a patient:</w:t>
      </w:r>
    </w:p>
    <w:p w:rsidR="00B4203B" w:rsidRDefault="00B4203B" w:rsidP="0016364E">
      <w:pPr>
        <w:pStyle w:val="ListParagraph"/>
        <w:numPr>
          <w:ilvl w:val="0"/>
          <w:numId w:val="12"/>
        </w:numPr>
        <w:ind w:left="450" w:hanging="270"/>
      </w:pPr>
      <w:r>
        <w:t>suffers an unrelated illness or injury after the first visit;</w:t>
      </w:r>
    </w:p>
    <w:p w:rsidR="00B4203B" w:rsidRDefault="00B4203B" w:rsidP="0016364E">
      <w:pPr>
        <w:pStyle w:val="ListParagraph"/>
        <w:numPr>
          <w:ilvl w:val="0"/>
          <w:numId w:val="12"/>
        </w:numPr>
        <w:ind w:left="450" w:hanging="270"/>
      </w:pPr>
      <w:r>
        <w:t>has a medical visit and a separate mental health visit with a CP or CSW;</w:t>
      </w:r>
    </w:p>
    <w:p w:rsidR="00B4203B" w:rsidRDefault="00B4203B" w:rsidP="0016364E">
      <w:pPr>
        <w:pStyle w:val="ListParagraph"/>
        <w:numPr>
          <w:ilvl w:val="0"/>
          <w:numId w:val="12"/>
        </w:numPr>
        <w:ind w:left="450" w:hanging="270"/>
      </w:pPr>
      <w:r>
        <w:t>has an IPPE visit</w:t>
      </w:r>
      <w:r w:rsidR="00F625F5">
        <w:t xml:space="preserve"> (Welcome to Medicare)</w:t>
      </w:r>
      <w:r>
        <w:t xml:space="preserve"> and a separate medical and/or mental health visit</w:t>
      </w:r>
    </w:p>
    <w:p w:rsidR="00B4203B" w:rsidRDefault="00B4203B" w:rsidP="00B4203B"/>
    <w:p w:rsidR="00B4203B" w:rsidRPr="00B4203B" w:rsidRDefault="00B4203B" w:rsidP="00B4203B">
      <w:r>
        <w:t>A Medicare Annual Wellness Visit c</w:t>
      </w:r>
      <w:r w:rsidRPr="00B4203B">
        <w:t xml:space="preserve">an be billed as </w:t>
      </w:r>
      <w:r>
        <w:t xml:space="preserve">an encounter </w:t>
      </w:r>
      <w:r w:rsidRPr="00B4203B">
        <w:t xml:space="preserve">if it is the only </w:t>
      </w:r>
      <w:r>
        <w:t xml:space="preserve">medical </w:t>
      </w:r>
      <w:r w:rsidRPr="00B4203B">
        <w:t>service provided</w:t>
      </w:r>
      <w:r>
        <w:t>; however, i</w:t>
      </w:r>
      <w:r w:rsidRPr="00B4203B">
        <w:t xml:space="preserve">f </w:t>
      </w:r>
      <w:r>
        <w:t xml:space="preserve">it </w:t>
      </w:r>
      <w:r w:rsidRPr="00B4203B">
        <w:t>furnished on the same day as a medical visit, it is not separately billable</w:t>
      </w:r>
      <w:r w:rsidR="00EC058E">
        <w:t>.  It can be billed separately from a mental health visit.</w:t>
      </w:r>
    </w:p>
    <w:p w:rsidR="00CD3D3B" w:rsidRDefault="00CD3D3B" w:rsidP="00CD3D3B"/>
    <w:p w:rsidR="00F807AA" w:rsidRDefault="00F807AA" w:rsidP="00CD3D3B">
      <w:r w:rsidRPr="00F807AA">
        <w:rPr>
          <w:i/>
        </w:rPr>
        <w:t xml:space="preserve">Effective January 1, 2013, CMS implemented two fee schedule transitional care management CPT codes related to post-discharge (acute, LTC, </w:t>
      </w:r>
      <w:r w:rsidR="003B26D0">
        <w:rPr>
          <w:i/>
        </w:rPr>
        <w:t xml:space="preserve">CMHC, </w:t>
      </w:r>
      <w:r w:rsidRPr="00F807AA">
        <w:rPr>
          <w:i/>
        </w:rPr>
        <w:t>etc.) care coordination services for beneficiaries.  RHCs do not bill CPT codes; however, because the codes include a face-to-face visit and clinical decision making, CMS has determined that RHCs may bill an encounter for these services</w:t>
      </w:r>
      <w:r w:rsidR="004C70D0">
        <w:rPr>
          <w:i/>
        </w:rPr>
        <w:t xml:space="preserve"> (as long as it is not covered under a global billing code)</w:t>
      </w:r>
      <w:r w:rsidRPr="00F807AA">
        <w:rPr>
          <w:i/>
        </w:rPr>
        <w:t>.</w:t>
      </w:r>
    </w:p>
    <w:p w:rsidR="00CB4221" w:rsidRPr="00CB4221" w:rsidRDefault="00CB4221" w:rsidP="00CD3D3B"/>
    <w:p w:rsidR="008004A9" w:rsidRPr="008004A9" w:rsidRDefault="008004A9">
      <w:pPr>
        <w:rPr>
          <w:b/>
        </w:rPr>
      </w:pPr>
      <w:r w:rsidRPr="008004A9">
        <w:rPr>
          <w:b/>
        </w:rPr>
        <w:lastRenderedPageBreak/>
        <w:t>All-Inclusive Rate</w:t>
      </w:r>
      <w:r w:rsidR="00F051E4">
        <w:rPr>
          <w:b/>
        </w:rPr>
        <w:t xml:space="preserve"> </w:t>
      </w:r>
      <w:r w:rsidR="00470597">
        <w:rPr>
          <w:b/>
        </w:rPr>
        <w:t>and Payment Cap</w:t>
      </w:r>
    </w:p>
    <w:p w:rsidR="00136BF0" w:rsidRDefault="00DB1A57" w:rsidP="00136BF0">
      <w:r w:rsidRPr="00DB1A57">
        <w:t xml:space="preserve">Payment </w:t>
      </w:r>
      <w:r w:rsidR="00BA4CBB">
        <w:t xml:space="preserve">for </w:t>
      </w:r>
      <w:r w:rsidRPr="00DB1A57">
        <w:t xml:space="preserve">covered </w:t>
      </w:r>
      <w:r w:rsidR="00BA4CBB" w:rsidRPr="00DB1A57">
        <w:t xml:space="preserve">RHC </w:t>
      </w:r>
      <w:r w:rsidRPr="00DB1A57">
        <w:t>services furnished to Medicare patients is made by means of an all-inclusive rate for each visit.</w:t>
      </w:r>
      <w:r>
        <w:t xml:space="preserve"> </w:t>
      </w:r>
      <w:r w:rsidR="00136BF0">
        <w:t xml:space="preserve"> </w:t>
      </w:r>
      <w:r>
        <w:t xml:space="preserve"> </w:t>
      </w:r>
      <w:r w:rsidR="00136BF0">
        <w:t>O</w:t>
      </w:r>
      <w:r w:rsidR="00136BF0" w:rsidRPr="003637BD">
        <w:t>ther services such as lab</w:t>
      </w:r>
      <w:r w:rsidR="00C9261C">
        <w:t xml:space="preserve">s and </w:t>
      </w:r>
      <w:r w:rsidR="00136BF0" w:rsidRPr="003637BD">
        <w:t>the technical components of diagnostic tests</w:t>
      </w:r>
      <w:r w:rsidR="00136BF0">
        <w:t xml:space="preserve"> </w:t>
      </w:r>
      <w:r w:rsidR="00C9261C">
        <w:t>are</w:t>
      </w:r>
      <w:r w:rsidR="00136BF0">
        <w:t xml:space="preserve"> </w:t>
      </w:r>
      <w:r w:rsidR="00136BF0" w:rsidRPr="003637BD">
        <w:t xml:space="preserve">the same as for similar services </w:t>
      </w:r>
      <w:r w:rsidR="00136BF0">
        <w:t xml:space="preserve">provided under </w:t>
      </w:r>
      <w:r w:rsidR="00136BF0" w:rsidRPr="003637BD">
        <w:t xml:space="preserve">Part </w:t>
      </w:r>
      <w:r w:rsidR="00136BF0">
        <w:t>A or Part B.</w:t>
      </w:r>
    </w:p>
    <w:p w:rsidR="00C667DA" w:rsidRDefault="00C667DA" w:rsidP="00136BF0"/>
    <w:p w:rsidR="00DB1A57" w:rsidRDefault="00DB1A57" w:rsidP="00DB1A57">
      <w:r w:rsidRPr="00DB1A57">
        <w:t xml:space="preserve">The </w:t>
      </w:r>
      <w:r w:rsidR="00136BF0">
        <w:t xml:space="preserve">RHC </w:t>
      </w:r>
      <w:r w:rsidRPr="00DB1A57">
        <w:t>payment rate is calculated, in general, by dividing total allowable cost</w:t>
      </w:r>
      <w:r w:rsidR="00C667DA">
        <w:t>s</w:t>
      </w:r>
      <w:r w:rsidRPr="00DB1A57">
        <w:t xml:space="preserve"> by the number of total visits for RHC</w:t>
      </w:r>
      <w:r>
        <w:t xml:space="preserve"> </w:t>
      </w:r>
      <w:r w:rsidRPr="00DB1A57">
        <w:t>services.</w:t>
      </w:r>
      <w:r>
        <w:t xml:space="preserve">  </w:t>
      </w:r>
      <w:r w:rsidRPr="00DB1A57">
        <w:t xml:space="preserve">At the end of </w:t>
      </w:r>
      <w:r>
        <w:t>its</w:t>
      </w:r>
      <w:r w:rsidRPr="00DB1A57">
        <w:t xml:space="preserve"> reporting period, </w:t>
      </w:r>
      <w:r>
        <w:t>an</w:t>
      </w:r>
      <w:r w:rsidRPr="00DB1A57">
        <w:t xml:space="preserve"> </w:t>
      </w:r>
      <w:r>
        <w:t>RHC submits a cost report to its designated Medicare Administrative Contractor (MAC), which reconciles total allowable costs with payments made</w:t>
      </w:r>
      <w:r w:rsidR="00BA4CBB">
        <w:t xml:space="preserve"> to the RHC, subject to productivity standards, screening guidelines, and – if applicable – an upper payment limit</w:t>
      </w:r>
      <w:r w:rsidRPr="00DB1A57">
        <w:t>.</w:t>
      </w:r>
      <w:r w:rsidR="00BA4CBB">
        <w:t xml:space="preserve">  A lump sum payment is made to, or repayment is made by, the RHC.</w:t>
      </w:r>
    </w:p>
    <w:p w:rsidR="00DB1A57" w:rsidRDefault="00DB1A57"/>
    <w:p w:rsidR="00BA4CBB" w:rsidRDefault="00BA4CBB" w:rsidP="00BA4CBB">
      <w:r>
        <w:t>P</w:t>
      </w:r>
      <w:r w:rsidR="00455ED7">
        <w:t xml:space="preserve">rovider-based </w:t>
      </w:r>
      <w:r w:rsidR="000863A7">
        <w:t xml:space="preserve">RHCs of hospitals with </w:t>
      </w:r>
      <w:r>
        <w:t>&lt;50</w:t>
      </w:r>
      <w:r w:rsidR="000863A7">
        <w:t xml:space="preserve"> beds</w:t>
      </w:r>
      <w:r w:rsidR="00892364">
        <w:t>*</w:t>
      </w:r>
      <w:r w:rsidR="000863A7">
        <w:t xml:space="preserve"> are </w:t>
      </w:r>
      <w:r>
        <w:t xml:space="preserve">not </w:t>
      </w:r>
      <w:r w:rsidR="000863A7">
        <w:t xml:space="preserve">subject to a </w:t>
      </w:r>
      <w:r w:rsidR="00952FDD">
        <w:t xml:space="preserve">per visit </w:t>
      </w:r>
      <w:r w:rsidR="000863A7">
        <w:t xml:space="preserve">payment limit.  </w:t>
      </w:r>
      <w:r>
        <w:t xml:space="preserve">In addition, </w:t>
      </w:r>
      <w:r w:rsidR="00B15D76">
        <w:t>a</w:t>
      </w:r>
      <w:r w:rsidRPr="00952FDD">
        <w:t xml:space="preserve"> </w:t>
      </w:r>
      <w:r>
        <w:t>provider</w:t>
      </w:r>
      <w:r w:rsidRPr="00952FDD">
        <w:t xml:space="preserve">-based RHC </w:t>
      </w:r>
      <w:r>
        <w:t xml:space="preserve">of a </w:t>
      </w:r>
      <w:r w:rsidR="00136BF0" w:rsidRPr="00952FDD">
        <w:t xml:space="preserve">sole community </w:t>
      </w:r>
      <w:r w:rsidRPr="00952FDD">
        <w:t>hospital</w:t>
      </w:r>
      <w:r>
        <w:t xml:space="preserve"> is exempt from </w:t>
      </w:r>
      <w:r w:rsidRPr="00952FDD">
        <w:t xml:space="preserve">the payment limit </w:t>
      </w:r>
      <w:r>
        <w:t xml:space="preserve">if the </w:t>
      </w:r>
      <w:r w:rsidRPr="00952FDD">
        <w:t xml:space="preserve">hospital has an </w:t>
      </w:r>
      <w:r>
        <w:t>average daily census &lt;=</w:t>
      </w:r>
      <w:r w:rsidRPr="00952FDD">
        <w:t xml:space="preserve">40 </w:t>
      </w:r>
      <w:r w:rsidRPr="00136BF0">
        <w:t>and</w:t>
      </w:r>
      <w:r w:rsidRPr="00952FDD">
        <w:t xml:space="preserve"> </w:t>
      </w:r>
      <w:r>
        <w:t xml:space="preserve">it is </w:t>
      </w:r>
      <w:r w:rsidRPr="00952FDD">
        <w:t xml:space="preserve">located in an </w:t>
      </w:r>
      <w:r>
        <w:t xml:space="preserve">Urban Influence Code </w:t>
      </w:r>
      <w:r w:rsidRPr="00952FDD">
        <w:t>8-level or 9-level nonmetropolitan county.</w:t>
      </w:r>
    </w:p>
    <w:p w:rsidR="00136BF0" w:rsidRDefault="00136BF0"/>
    <w:p w:rsidR="006F697C" w:rsidRDefault="0060620E">
      <w:r>
        <w:t xml:space="preserve">From </w:t>
      </w:r>
      <w:r w:rsidRPr="008004A9">
        <w:t xml:space="preserve">1977 </w:t>
      </w:r>
      <w:r w:rsidR="00E44EFB">
        <w:t xml:space="preserve">to </w:t>
      </w:r>
      <w:r w:rsidRPr="008004A9">
        <w:t xml:space="preserve">1986, Congress set the </w:t>
      </w:r>
      <w:r w:rsidR="00136BF0">
        <w:t xml:space="preserve">payment </w:t>
      </w:r>
      <w:r w:rsidRPr="008004A9">
        <w:t xml:space="preserve">cap. </w:t>
      </w:r>
      <w:r>
        <w:t xml:space="preserve"> The OBRA of 1987 amended </w:t>
      </w:r>
      <w:r w:rsidR="000863A7">
        <w:t>SSA Sec. 1833(f</w:t>
      </w:r>
      <w:proofErr w:type="gramStart"/>
      <w:r w:rsidR="000863A7">
        <w:t>)</w:t>
      </w:r>
      <w:r w:rsidR="000863A7" w:rsidRPr="000863A7">
        <w:t>(</w:t>
      </w:r>
      <w:proofErr w:type="gramEnd"/>
      <w:r w:rsidR="000863A7" w:rsidRPr="000863A7">
        <w:t>2)</w:t>
      </w:r>
      <w:r>
        <w:t xml:space="preserve"> and established</w:t>
      </w:r>
      <w:r w:rsidR="000863A7" w:rsidRPr="000863A7">
        <w:t xml:space="preserve"> </w:t>
      </w:r>
      <w:r>
        <w:t>a</w:t>
      </w:r>
      <w:r w:rsidR="000863A7" w:rsidRPr="000863A7">
        <w:t xml:space="preserve"> cap </w:t>
      </w:r>
      <w:r>
        <w:t xml:space="preserve">that </w:t>
      </w:r>
      <w:r w:rsidR="000863A7" w:rsidRPr="000863A7">
        <w:t>is adjusted annually to reflect changes in th</w:t>
      </w:r>
      <w:r w:rsidR="000863A7">
        <w:t xml:space="preserve">e Medicare Economic Index.  </w:t>
      </w:r>
      <w:r w:rsidR="006F697C">
        <w:t xml:space="preserve">The </w:t>
      </w:r>
      <w:r w:rsidR="006F697C" w:rsidRPr="00455ED7">
        <w:rPr>
          <w:u w:val="single"/>
        </w:rPr>
        <w:t>201</w:t>
      </w:r>
      <w:r w:rsidR="00C9261C">
        <w:rPr>
          <w:u w:val="single"/>
        </w:rPr>
        <w:t>3</w:t>
      </w:r>
      <w:r w:rsidR="006F697C" w:rsidRPr="00455ED7">
        <w:rPr>
          <w:u w:val="single"/>
        </w:rPr>
        <w:t xml:space="preserve"> payment limit is $7</w:t>
      </w:r>
      <w:r w:rsidR="00C9261C">
        <w:rPr>
          <w:u w:val="single"/>
        </w:rPr>
        <w:t>9</w:t>
      </w:r>
      <w:r w:rsidR="00470597" w:rsidRPr="00455ED7">
        <w:rPr>
          <w:u w:val="single"/>
        </w:rPr>
        <w:t>.</w:t>
      </w:r>
      <w:r w:rsidR="00C9261C">
        <w:rPr>
          <w:u w:val="single"/>
        </w:rPr>
        <w:t>17</w:t>
      </w:r>
      <w:r w:rsidR="005D5F84">
        <w:t>.</w:t>
      </w:r>
      <w:r w:rsidR="00080BBD">
        <w:t xml:space="preserve">  Unlike Part B fee schedule claims, the RHC is paid the same amount regardless of which provider sees the patient.</w:t>
      </w:r>
    </w:p>
    <w:p w:rsidR="000863A7" w:rsidRDefault="000863A7"/>
    <w:p w:rsidR="00B46091" w:rsidRPr="00892364" w:rsidRDefault="00892364" w:rsidP="00B46091">
      <w:pPr>
        <w:rPr>
          <w:sz w:val="20"/>
          <w:szCs w:val="20"/>
        </w:rPr>
      </w:pPr>
      <w:r>
        <w:t>*</w:t>
      </w:r>
      <w:r w:rsidR="00B46091" w:rsidRPr="00892364">
        <w:rPr>
          <w:sz w:val="20"/>
          <w:szCs w:val="20"/>
        </w:rPr>
        <w:t>The definition in 42 CFR 412.105(b) is used to determine the number of beds for the current cost reporting period.</w:t>
      </w:r>
    </w:p>
    <w:p w:rsidR="00B46091" w:rsidRPr="00817F12" w:rsidRDefault="00B46091" w:rsidP="00B46091">
      <w:pPr>
        <w:rPr>
          <w:i/>
          <w:sz w:val="17"/>
          <w:szCs w:val="17"/>
        </w:rPr>
      </w:pPr>
      <w:r w:rsidRPr="00817F12">
        <w:rPr>
          <w:i/>
          <w:sz w:val="17"/>
          <w:szCs w:val="17"/>
        </w:rPr>
        <w:t>(</w:t>
      </w:r>
      <w:r w:rsidRPr="00817F12">
        <w:rPr>
          <w:bCs/>
          <w:i/>
          <w:sz w:val="17"/>
          <w:szCs w:val="17"/>
        </w:rPr>
        <w:t xml:space="preserve">Medicare Claims Processing Manual, Chapter 9 -- </w:t>
      </w:r>
      <w:r w:rsidRPr="00817F12">
        <w:rPr>
          <w:i/>
          <w:sz w:val="17"/>
          <w:szCs w:val="17"/>
        </w:rPr>
        <w:t>20.6.3 - Exceptions to Maximum Payment Limit (Cap) in Encounter Payment Rate for Provider-Based RHCs)</w:t>
      </w:r>
    </w:p>
    <w:p w:rsidR="007139AF" w:rsidRDefault="007139AF" w:rsidP="00952FDD"/>
    <w:p w:rsidR="008B0CA1" w:rsidRPr="00863108" w:rsidRDefault="008B0CA1" w:rsidP="008B0CA1">
      <w:pPr>
        <w:rPr>
          <w:b/>
        </w:rPr>
      </w:pPr>
      <w:r w:rsidRPr="00CF70F2">
        <w:rPr>
          <w:b/>
        </w:rPr>
        <w:t>RHC vs. FQHC Reimbursement</w:t>
      </w:r>
    </w:p>
    <w:p w:rsidR="008B0CA1" w:rsidRPr="00E311BB" w:rsidRDefault="008B0CA1" w:rsidP="008B0CA1">
      <w:r w:rsidRPr="00E311BB">
        <w:rPr>
          <w:rFonts w:ascii="Calibri" w:hAnsi="Calibri" w:cs="Arial"/>
        </w:rPr>
        <w:t xml:space="preserve">FQHCs are required </w:t>
      </w:r>
      <w:r w:rsidR="00B57277" w:rsidRPr="00E311BB">
        <w:rPr>
          <w:rFonts w:ascii="Calibri" w:hAnsi="Calibri" w:cs="Arial"/>
        </w:rPr>
        <w:t xml:space="preserve">under </w:t>
      </w:r>
      <w:r w:rsidR="00190DB0">
        <w:rPr>
          <w:rFonts w:ascii="Calibri" w:hAnsi="Calibri" w:cs="Arial"/>
        </w:rPr>
        <w:t xml:space="preserve">PHS Act </w:t>
      </w:r>
      <w:r w:rsidR="00B57277" w:rsidRPr="00E311BB">
        <w:rPr>
          <w:rFonts w:ascii="Calibri" w:hAnsi="Calibri" w:cs="Arial"/>
        </w:rPr>
        <w:t>Sec. 330</w:t>
      </w:r>
      <w:r w:rsidR="00B57277">
        <w:rPr>
          <w:rFonts w:ascii="Calibri" w:hAnsi="Calibri" w:cs="Arial"/>
        </w:rPr>
        <w:t xml:space="preserve"> </w:t>
      </w:r>
      <w:r w:rsidRPr="00E311BB">
        <w:rPr>
          <w:rFonts w:ascii="Calibri" w:hAnsi="Calibri" w:cs="Arial"/>
        </w:rPr>
        <w:t>to provide certain services</w:t>
      </w:r>
      <w:r w:rsidR="00B57277">
        <w:rPr>
          <w:rFonts w:ascii="Calibri" w:hAnsi="Calibri" w:cs="Arial"/>
        </w:rPr>
        <w:t>,</w:t>
      </w:r>
      <w:r w:rsidRPr="00E311BB">
        <w:rPr>
          <w:rFonts w:ascii="Calibri" w:hAnsi="Calibri" w:cs="Arial"/>
        </w:rPr>
        <w:t xml:space="preserve"> but Medicare-covered FQHC services </w:t>
      </w:r>
      <w:r w:rsidR="00FC4813">
        <w:rPr>
          <w:rFonts w:ascii="Calibri" w:hAnsi="Calibri" w:cs="Arial"/>
        </w:rPr>
        <w:t>are similar</w:t>
      </w:r>
      <w:r w:rsidRPr="00E311BB">
        <w:rPr>
          <w:rFonts w:ascii="Calibri" w:hAnsi="Calibri" w:cs="Arial"/>
        </w:rPr>
        <w:t xml:space="preserve"> </w:t>
      </w:r>
      <w:r w:rsidR="00FC4813">
        <w:rPr>
          <w:rFonts w:ascii="Calibri" w:hAnsi="Calibri" w:cs="Arial"/>
        </w:rPr>
        <w:t xml:space="preserve">to </w:t>
      </w:r>
      <w:r w:rsidRPr="00E311BB">
        <w:rPr>
          <w:rFonts w:ascii="Calibri" w:hAnsi="Calibri" w:cs="Arial"/>
        </w:rPr>
        <w:t xml:space="preserve">RHC services.  </w:t>
      </w:r>
      <w:r w:rsidR="00E44EFB" w:rsidRPr="00E311BB">
        <w:rPr>
          <w:rFonts w:ascii="Calibri" w:hAnsi="Calibri" w:cs="Arial"/>
        </w:rPr>
        <w:t xml:space="preserve">(The primary difference is </w:t>
      </w:r>
      <w:r w:rsidRPr="00E311BB">
        <w:t>FQHC preventive services benefits</w:t>
      </w:r>
      <w:r w:rsidR="00E44EFB" w:rsidRPr="00E311BB">
        <w:t>.)</w:t>
      </w:r>
      <w:r w:rsidRPr="00E311BB">
        <w:t xml:space="preserve">  </w:t>
      </w:r>
      <w:r w:rsidR="005D5F84" w:rsidRPr="005D5F84">
        <w:t>The 2013 rural FQHC limit is</w:t>
      </w:r>
      <w:r w:rsidR="005D5F84" w:rsidRPr="00455ED7">
        <w:rPr>
          <w:u w:val="single"/>
        </w:rPr>
        <w:t xml:space="preserve"> $1</w:t>
      </w:r>
      <w:r w:rsidR="005D5F84">
        <w:rPr>
          <w:u w:val="single"/>
        </w:rPr>
        <w:t>1</w:t>
      </w:r>
      <w:r w:rsidR="005D5F84" w:rsidRPr="00455ED7">
        <w:rPr>
          <w:u w:val="single"/>
        </w:rPr>
        <w:t>0.</w:t>
      </w:r>
      <w:r w:rsidR="005D5F84">
        <w:rPr>
          <w:u w:val="single"/>
        </w:rPr>
        <w:t>78</w:t>
      </w:r>
      <w:r w:rsidR="005D5F84" w:rsidRPr="005D5F84">
        <w:t xml:space="preserve"> and the urban limit is</w:t>
      </w:r>
      <w:r w:rsidR="005D5F84" w:rsidRPr="00455ED7">
        <w:rPr>
          <w:u w:val="single"/>
        </w:rPr>
        <w:t xml:space="preserve"> $12</w:t>
      </w:r>
      <w:r w:rsidR="005D5F84">
        <w:rPr>
          <w:u w:val="single"/>
        </w:rPr>
        <w:t>8</w:t>
      </w:r>
      <w:r w:rsidR="005D5F84" w:rsidRPr="00455ED7">
        <w:rPr>
          <w:u w:val="single"/>
        </w:rPr>
        <w:t>.</w:t>
      </w:r>
      <w:r w:rsidR="005D5F84">
        <w:rPr>
          <w:u w:val="single"/>
        </w:rPr>
        <w:t>00</w:t>
      </w:r>
      <w:r w:rsidR="005D5F84">
        <w:t xml:space="preserve"> (FQHCs in CBSAs qualify for urban status).  </w:t>
      </w:r>
      <w:r w:rsidR="0060620E" w:rsidRPr="00E311BB">
        <w:t xml:space="preserve">In 1992, the FQHC </w:t>
      </w:r>
      <w:r w:rsidR="00E44EFB" w:rsidRPr="00E311BB">
        <w:t xml:space="preserve">payment </w:t>
      </w:r>
      <w:r w:rsidR="0060620E" w:rsidRPr="00E311BB">
        <w:t xml:space="preserve">cap was established using a RBRVS payment methodology that placed a greater value on primary care services than the old system and resulted in a higher cap for rural FQHCs than for RHCs (~28%).  The original FQHC rate was based partially on RHC data that was adjusted significantly based on available data from Federally Funded Health Centers (FFHCs).  The RHC costs for those core services was then adjusted upwards for the higher percentage of visits conducted by physicians at FFHCs, the 15% payment increase for family practice physicians as a result of transition to the Physician Fee Schedule, an urban increase of 16.3% based on FFHC experience, and the aforementioned preventive services based on FFHC costs.  </w:t>
      </w:r>
      <w:r w:rsidRPr="00E311BB">
        <w:t>CMS estimated that the additional cost of providing FQHC services per visit was $2.60 in rural areas and $3.02 in urban areas.</w:t>
      </w:r>
    </w:p>
    <w:p w:rsidR="00E44EFB" w:rsidRPr="00FC4813" w:rsidRDefault="00E44EFB" w:rsidP="008B0CA1">
      <w:pPr>
        <w:rPr>
          <w:sz w:val="18"/>
          <w:szCs w:val="18"/>
        </w:rPr>
      </w:pPr>
    </w:p>
    <w:p w:rsidR="00E44EFB" w:rsidRPr="00E311BB" w:rsidRDefault="00455ED7" w:rsidP="008B0CA1">
      <w:r>
        <w:t>More recently, t</w:t>
      </w:r>
      <w:r w:rsidR="00E44EFB" w:rsidRPr="00E311BB">
        <w:t>he Affordable Care Act directed CMS to establish a Medicare PPS for FQHCs beginning in 2014.</w:t>
      </w:r>
    </w:p>
    <w:p w:rsidR="00952FDD" w:rsidRPr="00FC4813" w:rsidRDefault="00952FDD">
      <w:pPr>
        <w:rPr>
          <w:sz w:val="18"/>
          <w:szCs w:val="18"/>
        </w:rPr>
      </w:pPr>
    </w:p>
    <w:p w:rsidR="00CF70F2" w:rsidRDefault="00CF70F2" w:rsidP="00B57277">
      <w:pPr>
        <w:spacing w:after="80"/>
      </w:pPr>
      <w:r>
        <w:t>For additional information comparing RHCs and FQHCs:</w:t>
      </w:r>
    </w:p>
    <w:p w:rsidR="00CF70F2" w:rsidRPr="00B57277" w:rsidRDefault="00CF70F2" w:rsidP="00B57277">
      <w:pPr>
        <w:pStyle w:val="ListParagraph"/>
        <w:numPr>
          <w:ilvl w:val="0"/>
          <w:numId w:val="17"/>
        </w:numPr>
        <w:spacing w:after="80"/>
        <w:ind w:left="360"/>
        <w:contextualSpacing w:val="0"/>
        <w:rPr>
          <w:sz w:val="20"/>
          <w:szCs w:val="20"/>
        </w:rPr>
      </w:pPr>
      <w:r w:rsidRPr="00B57277">
        <w:rPr>
          <w:sz w:val="20"/>
          <w:szCs w:val="20"/>
        </w:rPr>
        <w:t xml:space="preserve">Comparison of the RHC and FQHC Programs - </w:t>
      </w:r>
      <w:hyperlink r:id="rId24" w:history="1">
        <w:r w:rsidRPr="00B57277">
          <w:rPr>
            <w:rStyle w:val="Hyperlink"/>
            <w:sz w:val="20"/>
            <w:szCs w:val="20"/>
          </w:rPr>
          <w:t>http://www.ask.hrsa.gov/downloads/fqhc-rhccomparison.pdf</w:t>
        </w:r>
      </w:hyperlink>
    </w:p>
    <w:p w:rsidR="00CF70F2" w:rsidRPr="00B57277" w:rsidRDefault="00CF70F2" w:rsidP="00CF70F2">
      <w:pPr>
        <w:pStyle w:val="ListParagraph"/>
        <w:numPr>
          <w:ilvl w:val="0"/>
          <w:numId w:val="17"/>
        </w:numPr>
        <w:ind w:left="360"/>
        <w:rPr>
          <w:sz w:val="20"/>
          <w:szCs w:val="20"/>
        </w:rPr>
      </w:pPr>
      <w:r w:rsidRPr="00B57277">
        <w:rPr>
          <w:sz w:val="20"/>
          <w:szCs w:val="20"/>
        </w:rPr>
        <w:t xml:space="preserve">Comparison of RHC and FQHC Program Provisions (2009 CMS presentation) - </w:t>
      </w:r>
      <w:hyperlink r:id="rId25" w:history="1">
        <w:r w:rsidRPr="00B57277">
          <w:rPr>
            <w:rStyle w:val="Hyperlink"/>
            <w:sz w:val="18"/>
            <w:szCs w:val="18"/>
          </w:rPr>
          <w:t>http://www.trha.org/Conference_2009/Presentations/10%20Access%20to%20Care%20Models%20-%20A%20Comparison%20of%20RHCs%20and%20FQHCs%20-.pdf</w:t>
        </w:r>
      </w:hyperlink>
    </w:p>
    <w:p w:rsidR="00CF70F2" w:rsidRPr="00E311BB" w:rsidRDefault="00CF70F2"/>
    <w:p w:rsidR="00EC5FF1" w:rsidRPr="00EC5FF1" w:rsidRDefault="00190DB0">
      <w:pPr>
        <w:rPr>
          <w:b/>
        </w:rPr>
      </w:pPr>
      <w:r>
        <w:rPr>
          <w:b/>
        </w:rPr>
        <w:t xml:space="preserve">Beneficiary </w:t>
      </w:r>
      <w:r w:rsidR="00EC5FF1" w:rsidRPr="00EC5FF1">
        <w:rPr>
          <w:b/>
        </w:rPr>
        <w:t>Deductible and Coinsurance/Co</w:t>
      </w:r>
      <w:r>
        <w:rPr>
          <w:b/>
        </w:rPr>
        <w:t>-</w:t>
      </w:r>
      <w:r w:rsidR="00EC5FF1" w:rsidRPr="00EC5FF1">
        <w:rPr>
          <w:b/>
        </w:rPr>
        <w:t>pay</w:t>
      </w:r>
    </w:p>
    <w:p w:rsidR="00EC5FF1" w:rsidRDefault="00EC5FF1">
      <w:r>
        <w:t xml:space="preserve">A beneficiary is responsible for the Part B deductible </w:t>
      </w:r>
      <w:r w:rsidR="00703852">
        <w:t>(</w:t>
      </w:r>
      <w:r w:rsidR="00703852" w:rsidRPr="006732BB">
        <w:rPr>
          <w:u w:val="single"/>
        </w:rPr>
        <w:t>$147 in 2013</w:t>
      </w:r>
      <w:r w:rsidR="00703852">
        <w:t xml:space="preserve">) </w:t>
      </w:r>
      <w:r>
        <w:t xml:space="preserve">and coinsurance.  </w:t>
      </w:r>
      <w:r w:rsidR="00F02161">
        <w:t xml:space="preserve">CMS pays 80% of the </w:t>
      </w:r>
      <w:r w:rsidR="00F051E4">
        <w:t>all-inclusive rate</w:t>
      </w:r>
      <w:r w:rsidR="00F02161">
        <w:t xml:space="preserve">.  </w:t>
      </w:r>
      <w:r w:rsidR="00FB071A">
        <w:t xml:space="preserve">Coinsurance is 20% of reasonable and customary charges, not of the </w:t>
      </w:r>
      <w:r w:rsidR="00F051E4">
        <w:t>all-inclusive rate</w:t>
      </w:r>
      <w:r w:rsidR="00FB071A">
        <w:t>.</w:t>
      </w:r>
      <w:r w:rsidR="004376F3">
        <w:t xml:space="preserve">  (For </w:t>
      </w:r>
      <w:r w:rsidR="00F00A34">
        <w:t>comparison</w:t>
      </w:r>
      <w:r w:rsidR="004376F3">
        <w:t xml:space="preserve">, an established patient visit of moderate to high complexity – </w:t>
      </w:r>
      <w:r w:rsidR="00F00A34">
        <w:t xml:space="preserve">CPT Codes </w:t>
      </w:r>
      <w:r w:rsidR="004376F3">
        <w:t>99213-15 –</w:t>
      </w:r>
      <w:r w:rsidR="00064E4B">
        <w:t xml:space="preserve"> </w:t>
      </w:r>
      <w:r w:rsidR="004376F3">
        <w:t>result</w:t>
      </w:r>
      <w:r w:rsidR="00064E4B">
        <w:t>s</w:t>
      </w:r>
      <w:r w:rsidR="004376F3">
        <w:t xml:space="preserve"> in total payment above the cap.)</w:t>
      </w:r>
    </w:p>
    <w:p w:rsidR="00FB071A" w:rsidRDefault="00FB071A"/>
    <w:p w:rsidR="00EC5FF1" w:rsidRPr="00EC5FF1" w:rsidRDefault="00FB071A" w:rsidP="00EC5FF1">
      <w:r>
        <w:t>W</w:t>
      </w:r>
      <w:r w:rsidR="00EC5FF1" w:rsidRPr="00EC5FF1">
        <w:t xml:space="preserve">hen a beneficiary </w:t>
      </w:r>
      <w:r w:rsidR="00725455">
        <w:t>hasn’t met the deductible</w:t>
      </w:r>
      <w:r>
        <w:t>,</w:t>
      </w:r>
      <w:r w:rsidR="00EC5FF1" w:rsidRPr="00EC5FF1">
        <w:t xml:space="preserve"> </w:t>
      </w:r>
      <w:r>
        <w:t xml:space="preserve">if the amount of charges exceeds the all-inclusive rate, </w:t>
      </w:r>
      <w:r w:rsidR="00EC5FF1" w:rsidRPr="00EC5FF1">
        <w:t xml:space="preserve">Medicare expects </w:t>
      </w:r>
      <w:r>
        <w:t xml:space="preserve">the RHC </w:t>
      </w:r>
      <w:r w:rsidR="00EC5FF1" w:rsidRPr="00EC5FF1">
        <w:t xml:space="preserve">to collect </w:t>
      </w:r>
      <w:r>
        <w:t xml:space="preserve">the full charges up to the deductible amount and any </w:t>
      </w:r>
      <w:r w:rsidR="00470597">
        <w:t xml:space="preserve">applicable </w:t>
      </w:r>
      <w:r>
        <w:t xml:space="preserve">coinsurance </w:t>
      </w:r>
      <w:r w:rsidR="00EC5FF1" w:rsidRPr="00EC5FF1">
        <w:t xml:space="preserve">from the patient.  Medicare </w:t>
      </w:r>
      <w:r w:rsidR="00470597">
        <w:t xml:space="preserve">then </w:t>
      </w:r>
      <w:r w:rsidR="00551C8F">
        <w:t xml:space="preserve">requires the RHC to remit </w:t>
      </w:r>
      <w:r w:rsidR="00EC5FF1" w:rsidRPr="00EC5FF1">
        <w:t xml:space="preserve">the excess </w:t>
      </w:r>
      <w:r w:rsidR="00BC0391">
        <w:t xml:space="preserve">charges above </w:t>
      </w:r>
      <w:r w:rsidR="00EC5FF1" w:rsidRPr="00EC5FF1">
        <w:t xml:space="preserve">the </w:t>
      </w:r>
      <w:r w:rsidR="00551C8F">
        <w:t>all-inclusive rate</w:t>
      </w:r>
      <w:r w:rsidR="00725455">
        <w:t>.</w:t>
      </w:r>
    </w:p>
    <w:p w:rsidR="00EC5FF1" w:rsidRDefault="00EC5FF1"/>
    <w:p w:rsidR="00E1207C" w:rsidRDefault="00E1207C" w:rsidP="00F00A34">
      <w:r>
        <w:t>Certain preventive services (Welcome to Medicare, AWV) are not subject to a deductible or coinsurance and Medicare pay</w:t>
      </w:r>
      <w:r w:rsidR="007970A7">
        <w:t>s</w:t>
      </w:r>
      <w:r>
        <w:t xml:space="preserve"> the full RHC rate.  </w:t>
      </w:r>
      <w:r w:rsidR="00F00A34">
        <w:t xml:space="preserve">However, </w:t>
      </w:r>
      <w:r w:rsidRPr="00E1207C">
        <w:t xml:space="preserve">RHCs must separately track and report the charges related to these services.  </w:t>
      </w:r>
      <w:r>
        <w:t xml:space="preserve">A </w:t>
      </w:r>
      <w:r w:rsidRPr="00E1207C">
        <w:t>practice management system should be able to track and report Medicare preventive services CPT code</w:t>
      </w:r>
      <w:r w:rsidR="007970A7">
        <w:t>s</w:t>
      </w:r>
      <w:r w:rsidRPr="00E1207C">
        <w:t xml:space="preserve"> to complete the cost report.</w:t>
      </w:r>
      <w:r w:rsidR="004D002A">
        <w:t xml:space="preserve">  [Note:  AWV is NOT a physical.  The only physical covered by Medicare is the Welcome to Medicare visit.]</w:t>
      </w:r>
    </w:p>
    <w:p w:rsidR="00A017FC" w:rsidRPr="00E1207C" w:rsidRDefault="00A017FC" w:rsidP="00F00A34"/>
    <w:p w:rsidR="006F697C" w:rsidRPr="006F697C" w:rsidRDefault="006F697C">
      <w:pPr>
        <w:rPr>
          <w:b/>
        </w:rPr>
      </w:pPr>
      <w:r w:rsidRPr="006F697C">
        <w:rPr>
          <w:b/>
        </w:rPr>
        <w:t>Claims Detail</w:t>
      </w:r>
    </w:p>
    <w:p w:rsidR="00E2607A" w:rsidRPr="00E2607A" w:rsidRDefault="00827D93" w:rsidP="00E2607A">
      <w:r>
        <w:t xml:space="preserve">RHCs submit claims on a </w:t>
      </w:r>
      <w:r w:rsidRPr="00827D93">
        <w:t>UB-04</w:t>
      </w:r>
      <w:r>
        <w:t xml:space="preserve"> </w:t>
      </w:r>
      <w:r w:rsidR="004E628C">
        <w:t xml:space="preserve">(CMS 1450) </w:t>
      </w:r>
      <w:r>
        <w:t xml:space="preserve">form.  Non-RHC, </w:t>
      </w:r>
      <w:r w:rsidR="00274048">
        <w:t>Part B</w:t>
      </w:r>
      <w:r>
        <w:t xml:space="preserve"> claims </w:t>
      </w:r>
      <w:r w:rsidR="00274048">
        <w:t>(e.g., labs and diagnostic tests)</w:t>
      </w:r>
      <w:r w:rsidR="00900E1F">
        <w:t xml:space="preserve"> </w:t>
      </w:r>
      <w:r>
        <w:t xml:space="preserve">are </w:t>
      </w:r>
      <w:r w:rsidR="00274048">
        <w:t>s</w:t>
      </w:r>
      <w:r>
        <w:t xml:space="preserve">ubmitted on a </w:t>
      </w:r>
      <w:r w:rsidR="00E2607A">
        <w:t xml:space="preserve">CMS </w:t>
      </w:r>
      <w:r>
        <w:t>1500 form.</w:t>
      </w:r>
      <w:r w:rsidR="00E2607A">
        <w:t xml:space="preserve">  (CMS was previously </w:t>
      </w:r>
      <w:r w:rsidR="00274048">
        <w:t xml:space="preserve">called </w:t>
      </w:r>
      <w:r w:rsidR="00E2607A">
        <w:t xml:space="preserve">HCFA, </w:t>
      </w:r>
      <w:r w:rsidR="00274048">
        <w:t xml:space="preserve">so </w:t>
      </w:r>
      <w:r w:rsidR="00E2607A">
        <w:t xml:space="preserve">the forms </w:t>
      </w:r>
      <w:r w:rsidR="00274048">
        <w:t xml:space="preserve">are also known </w:t>
      </w:r>
      <w:r w:rsidR="00E2607A">
        <w:t>as a HCFA 1500 and 1450.)</w:t>
      </w:r>
      <w:r w:rsidR="001457A1">
        <w:t xml:space="preserve">  </w:t>
      </w:r>
      <w:r w:rsidR="00725455">
        <w:t>T</w:t>
      </w:r>
      <w:r w:rsidR="00E2607A" w:rsidRPr="00E2607A">
        <w:t xml:space="preserve">he clinic NPI </w:t>
      </w:r>
      <w:r w:rsidR="008B0CA1">
        <w:t xml:space="preserve">(type 2) </w:t>
      </w:r>
      <w:r w:rsidR="001457A1">
        <w:t xml:space="preserve">is required </w:t>
      </w:r>
      <w:r w:rsidR="00E2607A" w:rsidRPr="00E2607A">
        <w:t>on each claim</w:t>
      </w:r>
      <w:r w:rsidR="00E2607A">
        <w:t xml:space="preserve">, as </w:t>
      </w:r>
      <w:r w:rsidR="001457A1">
        <w:t xml:space="preserve">is </w:t>
      </w:r>
      <w:r w:rsidR="00E2607A" w:rsidRPr="00E2607A">
        <w:t xml:space="preserve">the NPI of the practitioner </w:t>
      </w:r>
      <w:r w:rsidR="008B0CA1">
        <w:t xml:space="preserve">(type 1) </w:t>
      </w:r>
      <w:r w:rsidR="00E2607A" w:rsidRPr="00E2607A">
        <w:t>who actually provided the care (</w:t>
      </w:r>
      <w:r w:rsidR="008B0CA1">
        <w:t xml:space="preserve">the </w:t>
      </w:r>
      <w:r w:rsidR="00E2607A" w:rsidRPr="00E2607A">
        <w:t>“rendering provider”).</w:t>
      </w:r>
      <w:r w:rsidR="00900E1F">
        <w:t xml:space="preserve">  The PTAN is not included on either claim (though the MAC/FI crosswalks the NPI to the PTAN).</w:t>
      </w:r>
    </w:p>
    <w:p w:rsidR="00274048" w:rsidRPr="00F6278F" w:rsidRDefault="00274048" w:rsidP="00274048">
      <w:pPr>
        <w:rPr>
          <w:color w:val="FF0000"/>
        </w:rPr>
      </w:pPr>
    </w:p>
    <w:p w:rsidR="003E2C61" w:rsidRPr="00E2607A" w:rsidRDefault="001457A1">
      <w:r>
        <w:t>R</w:t>
      </w:r>
      <w:r w:rsidR="006F697C" w:rsidRPr="006F697C">
        <w:t>HCs are only required to submit detailed HCPCS codes for preventive services with a U</w:t>
      </w:r>
      <w:r w:rsidR="0011176E">
        <w:t>.</w:t>
      </w:r>
      <w:r w:rsidR="006F697C" w:rsidRPr="006F697C">
        <w:t>S</w:t>
      </w:r>
      <w:r w:rsidR="0011176E">
        <w:t>.</w:t>
      </w:r>
      <w:r w:rsidR="006F697C" w:rsidRPr="006F697C">
        <w:t xml:space="preserve"> Preventive Services Task Force grade of A or B in order to waive coinsurance and deductible.</w:t>
      </w:r>
      <w:r w:rsidR="006F697C">
        <w:t xml:space="preserve">  (See CMS Change Request 7208, transmittal 2122).</w:t>
      </w:r>
      <w:r w:rsidR="0011176E">
        <w:t xml:space="preserve">  This includes the Welcome to Medicare and Annual Wellness Visit exams.</w:t>
      </w:r>
    </w:p>
    <w:p w:rsidR="00064E4B" w:rsidRDefault="00064E4B" w:rsidP="00CD2171"/>
    <w:p w:rsidR="00F176FF" w:rsidRPr="00BA399F" w:rsidRDefault="00F176FF" w:rsidP="00F176FF">
      <w:pPr>
        <w:pStyle w:val="Default"/>
        <w:widowControl w:val="0"/>
        <w:rPr>
          <w:rFonts w:asciiTheme="minorHAnsi" w:hAnsiTheme="minorHAnsi"/>
          <w:color w:val="auto"/>
          <w:sz w:val="22"/>
          <w:szCs w:val="22"/>
        </w:rPr>
      </w:pPr>
      <w:r w:rsidRPr="00BA399F">
        <w:rPr>
          <w:rFonts w:asciiTheme="minorHAnsi" w:hAnsiTheme="minorHAnsi"/>
          <w:b/>
          <w:bCs/>
          <w:color w:val="auto"/>
          <w:sz w:val="22"/>
          <w:szCs w:val="22"/>
        </w:rPr>
        <w:t>RHC Bill Types (UB-04 claim form, 71X)</w:t>
      </w:r>
    </w:p>
    <w:p w:rsidR="00F176FF" w:rsidRPr="00BA399F" w:rsidRDefault="00F176FF" w:rsidP="00F176FF">
      <w:pPr>
        <w:pStyle w:val="Default"/>
        <w:widowControl w:val="0"/>
        <w:rPr>
          <w:rFonts w:asciiTheme="minorHAnsi" w:hAnsiTheme="minorHAnsi"/>
          <w:color w:val="auto"/>
          <w:sz w:val="22"/>
          <w:szCs w:val="22"/>
        </w:rPr>
      </w:pPr>
      <w:r w:rsidRPr="00BA399F">
        <w:rPr>
          <w:rFonts w:asciiTheme="minorHAnsi" w:hAnsiTheme="minorHAnsi"/>
          <w:color w:val="auto"/>
          <w:sz w:val="22"/>
          <w:szCs w:val="22"/>
        </w:rPr>
        <w:t xml:space="preserve">710 </w:t>
      </w:r>
      <w:r>
        <w:t xml:space="preserve">– </w:t>
      </w:r>
      <w:r w:rsidRPr="00BA399F">
        <w:rPr>
          <w:rFonts w:asciiTheme="minorHAnsi" w:hAnsiTheme="minorHAnsi"/>
          <w:color w:val="auto"/>
          <w:sz w:val="22"/>
          <w:szCs w:val="22"/>
        </w:rPr>
        <w:t xml:space="preserve">Claim with only non-covered charges </w:t>
      </w:r>
    </w:p>
    <w:p w:rsidR="00F176FF" w:rsidRPr="005B79D9" w:rsidRDefault="00F176FF" w:rsidP="00F176FF">
      <w:pPr>
        <w:pStyle w:val="Default"/>
        <w:widowControl w:val="0"/>
        <w:rPr>
          <w:rFonts w:asciiTheme="minorHAnsi" w:hAnsiTheme="minorHAnsi"/>
          <w:color w:val="auto"/>
          <w:sz w:val="22"/>
          <w:szCs w:val="22"/>
        </w:rPr>
      </w:pPr>
      <w:r w:rsidRPr="005B79D9">
        <w:rPr>
          <w:rFonts w:asciiTheme="minorHAnsi" w:hAnsiTheme="minorHAnsi"/>
          <w:bCs/>
          <w:i/>
          <w:color w:val="auto"/>
          <w:sz w:val="22"/>
          <w:szCs w:val="22"/>
        </w:rPr>
        <w:t xml:space="preserve">711 </w:t>
      </w:r>
      <w:r w:rsidRPr="005B79D9">
        <w:rPr>
          <w:i/>
        </w:rPr>
        <w:t xml:space="preserve">– </w:t>
      </w:r>
      <w:r w:rsidRPr="005B79D9">
        <w:rPr>
          <w:rFonts w:asciiTheme="minorHAnsi" w:hAnsiTheme="minorHAnsi"/>
          <w:bCs/>
          <w:i/>
          <w:color w:val="auto"/>
          <w:sz w:val="22"/>
          <w:szCs w:val="22"/>
        </w:rPr>
        <w:t>Original claim</w:t>
      </w:r>
      <w:r w:rsidR="005B79D9">
        <w:rPr>
          <w:rFonts w:asciiTheme="minorHAnsi" w:hAnsiTheme="minorHAnsi"/>
          <w:bCs/>
          <w:i/>
          <w:color w:val="auto"/>
          <w:sz w:val="22"/>
          <w:szCs w:val="22"/>
        </w:rPr>
        <w:tab/>
      </w:r>
      <w:r w:rsidRPr="005B79D9">
        <w:rPr>
          <w:rFonts w:asciiTheme="minorHAnsi" w:hAnsiTheme="minorHAnsi"/>
          <w:bCs/>
          <w:color w:val="auto"/>
          <w:sz w:val="22"/>
          <w:szCs w:val="22"/>
        </w:rPr>
        <w:t xml:space="preserve"> [typical]</w:t>
      </w:r>
    </w:p>
    <w:p w:rsidR="00F176FF" w:rsidRPr="00BA399F" w:rsidRDefault="00F176FF" w:rsidP="00F176FF">
      <w:pPr>
        <w:pStyle w:val="Default"/>
        <w:widowControl w:val="0"/>
        <w:rPr>
          <w:rFonts w:asciiTheme="minorHAnsi" w:hAnsiTheme="minorHAnsi"/>
          <w:color w:val="auto"/>
          <w:sz w:val="22"/>
          <w:szCs w:val="22"/>
        </w:rPr>
      </w:pPr>
      <w:r w:rsidRPr="00BA399F">
        <w:rPr>
          <w:rFonts w:asciiTheme="minorHAnsi" w:hAnsiTheme="minorHAnsi"/>
          <w:color w:val="auto"/>
          <w:sz w:val="22"/>
          <w:szCs w:val="22"/>
        </w:rPr>
        <w:t xml:space="preserve">715 </w:t>
      </w:r>
      <w:r>
        <w:t xml:space="preserve">– </w:t>
      </w:r>
      <w:r w:rsidRPr="00BA399F">
        <w:rPr>
          <w:rFonts w:asciiTheme="minorHAnsi" w:hAnsiTheme="minorHAnsi"/>
          <w:color w:val="auto"/>
          <w:sz w:val="22"/>
          <w:szCs w:val="22"/>
        </w:rPr>
        <w:t xml:space="preserve">Late charge – adjustment to prior claim </w:t>
      </w:r>
    </w:p>
    <w:p w:rsidR="00F176FF" w:rsidRPr="00BA399F" w:rsidRDefault="00F176FF" w:rsidP="00F176FF">
      <w:pPr>
        <w:pStyle w:val="Default"/>
        <w:widowControl w:val="0"/>
        <w:rPr>
          <w:rFonts w:asciiTheme="minorHAnsi" w:hAnsiTheme="minorHAnsi"/>
          <w:color w:val="auto"/>
          <w:sz w:val="22"/>
          <w:szCs w:val="22"/>
        </w:rPr>
      </w:pPr>
      <w:r w:rsidRPr="00BA399F">
        <w:rPr>
          <w:rFonts w:asciiTheme="minorHAnsi" w:hAnsiTheme="minorHAnsi"/>
          <w:color w:val="auto"/>
          <w:sz w:val="22"/>
          <w:szCs w:val="22"/>
        </w:rPr>
        <w:t xml:space="preserve">717 </w:t>
      </w:r>
      <w:r>
        <w:t xml:space="preserve">– </w:t>
      </w:r>
      <w:r w:rsidRPr="00BA399F">
        <w:rPr>
          <w:rFonts w:asciiTheme="minorHAnsi" w:hAnsiTheme="minorHAnsi"/>
          <w:color w:val="auto"/>
          <w:sz w:val="22"/>
          <w:szCs w:val="22"/>
        </w:rPr>
        <w:t xml:space="preserve">Replacement claim – adjustment to prior claim </w:t>
      </w:r>
    </w:p>
    <w:p w:rsidR="00F176FF" w:rsidRPr="00BA399F" w:rsidRDefault="00F176FF" w:rsidP="00F176FF">
      <w:pPr>
        <w:pStyle w:val="Default"/>
        <w:widowControl w:val="0"/>
        <w:rPr>
          <w:rFonts w:asciiTheme="minorHAnsi" w:hAnsiTheme="minorHAnsi"/>
          <w:color w:val="auto"/>
          <w:sz w:val="22"/>
          <w:szCs w:val="22"/>
        </w:rPr>
      </w:pPr>
      <w:r w:rsidRPr="00BA399F">
        <w:rPr>
          <w:rFonts w:asciiTheme="minorHAnsi" w:hAnsiTheme="minorHAnsi"/>
          <w:color w:val="auto"/>
          <w:sz w:val="22"/>
          <w:szCs w:val="22"/>
        </w:rPr>
        <w:t xml:space="preserve">718 </w:t>
      </w:r>
      <w:r>
        <w:t xml:space="preserve">– </w:t>
      </w:r>
      <w:r w:rsidRPr="00BA399F">
        <w:rPr>
          <w:rFonts w:asciiTheme="minorHAnsi" w:hAnsiTheme="minorHAnsi"/>
          <w:color w:val="auto"/>
          <w:sz w:val="22"/>
          <w:szCs w:val="22"/>
        </w:rPr>
        <w:t xml:space="preserve">Void/cancel previous claim </w:t>
      </w:r>
    </w:p>
    <w:p w:rsidR="00F176FF" w:rsidRPr="00E2607A" w:rsidRDefault="00F176FF" w:rsidP="00CD2171"/>
    <w:p w:rsidR="00CD2171" w:rsidRPr="00CD2171" w:rsidRDefault="00CD2171" w:rsidP="00CD2171">
      <w:pPr>
        <w:rPr>
          <w:b/>
        </w:rPr>
      </w:pPr>
      <w:r w:rsidRPr="00CD2171">
        <w:rPr>
          <w:b/>
        </w:rPr>
        <w:t xml:space="preserve">Revenue codes </w:t>
      </w:r>
    </w:p>
    <w:p w:rsidR="00CD2171" w:rsidRPr="00CD2171" w:rsidRDefault="007747D9" w:rsidP="00CD2171">
      <w:r>
        <w:t>0521 –</w:t>
      </w:r>
      <w:r w:rsidR="00CD2171" w:rsidRPr="00CD2171">
        <w:t xml:space="preserve"> Clinic visit by member to RHC </w:t>
      </w:r>
    </w:p>
    <w:p w:rsidR="00CD2171" w:rsidRPr="00CD2171" w:rsidRDefault="007747D9" w:rsidP="00CD2171">
      <w:r>
        <w:t>0522 –</w:t>
      </w:r>
      <w:r w:rsidR="00CD2171" w:rsidRPr="00CD2171">
        <w:t xml:space="preserve"> Home visit by RHC practitioner </w:t>
      </w:r>
    </w:p>
    <w:p w:rsidR="00CD2171" w:rsidRPr="00CD2171" w:rsidRDefault="007747D9" w:rsidP="00CD2171">
      <w:r>
        <w:t>0524 –</w:t>
      </w:r>
      <w:r w:rsidR="00CD2171" w:rsidRPr="00CD2171">
        <w:t xml:space="preserve"> Visit by RHC practitioner to member in covered Part A stay at SNF </w:t>
      </w:r>
    </w:p>
    <w:p w:rsidR="00CD2171" w:rsidRPr="00CD2171" w:rsidRDefault="007747D9" w:rsidP="00CD2171">
      <w:r>
        <w:t>0525 –</w:t>
      </w:r>
      <w:r w:rsidR="00CD2171" w:rsidRPr="00CD2171">
        <w:t xml:space="preserve"> Visit by RHC practitioner to member in SNF (no Part A stay) or NF or ICF or other residential facility </w:t>
      </w:r>
    </w:p>
    <w:p w:rsidR="00CD2171" w:rsidRPr="00CD2171" w:rsidRDefault="007747D9" w:rsidP="00CD2171">
      <w:r>
        <w:t>0527 –</w:t>
      </w:r>
      <w:r w:rsidR="00CD2171" w:rsidRPr="00CD2171">
        <w:t xml:space="preserve"> RHC Visiting Nurse Service(s) to member’s home when in home health shortage area </w:t>
      </w:r>
    </w:p>
    <w:p w:rsidR="00CD2171" w:rsidRDefault="00CD2171" w:rsidP="00CD2171">
      <w:r w:rsidRPr="00CD2171">
        <w:t xml:space="preserve">0528 </w:t>
      </w:r>
      <w:r w:rsidR="007747D9">
        <w:t>–</w:t>
      </w:r>
      <w:r w:rsidRPr="00CD2171">
        <w:t xml:space="preserve"> Visit by RHC practitioner to other non-RHC site (e.g., scene of accident)</w:t>
      </w:r>
    </w:p>
    <w:p w:rsidR="007747D9" w:rsidRDefault="007747D9" w:rsidP="00CD2171">
      <w:r>
        <w:t>0780 – Telehealth originating site</w:t>
      </w:r>
      <w:r w:rsidR="001348AA">
        <w:t xml:space="preserve"> (include appropriate </w:t>
      </w:r>
      <w:r w:rsidR="001348AA" w:rsidRPr="001348AA">
        <w:t>HCPCS code and Q3014</w:t>
      </w:r>
      <w:r w:rsidR="001348AA">
        <w:t xml:space="preserve"> modifier)</w:t>
      </w:r>
    </w:p>
    <w:p w:rsidR="00863108" w:rsidRDefault="00863108" w:rsidP="00863108">
      <w:r>
        <w:t>0900 – Psychological services</w:t>
      </w:r>
    </w:p>
    <w:p w:rsidR="000C557A" w:rsidRPr="00863108" w:rsidRDefault="000C557A" w:rsidP="00863108"/>
    <w:p w:rsidR="00227DCB" w:rsidRPr="00DE7082" w:rsidRDefault="00227DCB" w:rsidP="00227DCB">
      <w:pPr>
        <w:rPr>
          <w:b/>
        </w:rPr>
      </w:pPr>
      <w:r>
        <w:rPr>
          <w:b/>
        </w:rPr>
        <w:t xml:space="preserve">NP/PA/CNM </w:t>
      </w:r>
      <w:r w:rsidRPr="00DE7082">
        <w:rPr>
          <w:b/>
        </w:rPr>
        <w:t>Billing</w:t>
      </w:r>
    </w:p>
    <w:p w:rsidR="00227DCB" w:rsidRPr="00DE7082" w:rsidRDefault="00227DCB" w:rsidP="00227DCB">
      <w:r>
        <w:t>S</w:t>
      </w:r>
      <w:r w:rsidRPr="00DE7082">
        <w:t xml:space="preserve">ome RHCs use the </w:t>
      </w:r>
      <w:r w:rsidR="00725455">
        <w:t xml:space="preserve">physician </w:t>
      </w:r>
      <w:r>
        <w:t>m</w:t>
      </w:r>
      <w:r w:rsidRPr="00DE7082">
        <w:t xml:space="preserve">edical </w:t>
      </w:r>
      <w:r>
        <w:t>d</w:t>
      </w:r>
      <w:r w:rsidRPr="00DE7082">
        <w:t xml:space="preserve">irector </w:t>
      </w:r>
      <w:r w:rsidR="00725455">
        <w:t xml:space="preserve">NPI </w:t>
      </w:r>
      <w:r w:rsidRPr="00DE7082">
        <w:t xml:space="preserve">as the rendering provider on </w:t>
      </w:r>
      <w:r w:rsidR="00725455">
        <w:t xml:space="preserve">all </w:t>
      </w:r>
      <w:r w:rsidRPr="00DE7082">
        <w:t>RHC claims (UB-04)</w:t>
      </w:r>
      <w:r w:rsidR="00080BBD">
        <w:t xml:space="preserve">, which </w:t>
      </w:r>
      <w:r w:rsidRPr="00DE7082">
        <w:t xml:space="preserve">facilitates payment on Medicare secondary </w:t>
      </w:r>
      <w:r>
        <w:t xml:space="preserve">payer </w:t>
      </w:r>
      <w:r w:rsidRPr="00DE7082">
        <w:t xml:space="preserve">claims when dealing with a commercial insurer </w:t>
      </w:r>
      <w:r>
        <w:t>that may not recognize PAs or NPs.</w:t>
      </w:r>
      <w:r w:rsidR="00725455">
        <w:t xml:space="preserve">  However, c</w:t>
      </w:r>
      <w:r w:rsidRPr="00DE7082">
        <w:t xml:space="preserve">linics that do not accurately report </w:t>
      </w:r>
      <w:r>
        <w:t xml:space="preserve">which practitioner provided </w:t>
      </w:r>
      <w:r w:rsidRPr="00DE7082">
        <w:t xml:space="preserve">the </w:t>
      </w:r>
      <w:r>
        <w:t xml:space="preserve">service </w:t>
      </w:r>
      <w:r w:rsidR="00725455">
        <w:t>are non-</w:t>
      </w:r>
      <w:r w:rsidRPr="00DE7082">
        <w:t>complian</w:t>
      </w:r>
      <w:r w:rsidR="00725455">
        <w:t>t</w:t>
      </w:r>
      <w:r w:rsidRPr="00DE7082">
        <w:t xml:space="preserve">.  In addition, </w:t>
      </w:r>
      <w:r>
        <w:t xml:space="preserve">there </w:t>
      </w:r>
      <w:r w:rsidRPr="00DE7082">
        <w:t xml:space="preserve">could </w:t>
      </w:r>
      <w:r>
        <w:t xml:space="preserve">be </w:t>
      </w:r>
      <w:r w:rsidRPr="00DE7082">
        <w:t>a productivity issue as claims data would underreport PA or NP</w:t>
      </w:r>
      <w:r w:rsidR="00080BBD">
        <w:t xml:space="preserve"> visits</w:t>
      </w:r>
      <w:r w:rsidRPr="00DE7082">
        <w:t xml:space="preserve"> and overstate th</w:t>
      </w:r>
      <w:r w:rsidR="00080BBD">
        <w:t>os</w:t>
      </w:r>
      <w:r w:rsidRPr="00DE7082">
        <w:t xml:space="preserve">e </w:t>
      </w:r>
      <w:r w:rsidR="00080BBD">
        <w:t xml:space="preserve">of </w:t>
      </w:r>
      <w:r w:rsidR="00725455">
        <w:t xml:space="preserve">the </w:t>
      </w:r>
      <w:r w:rsidRPr="00DE7082">
        <w:t xml:space="preserve">physician.  </w:t>
      </w:r>
      <w:r w:rsidR="00080BBD">
        <w:t xml:space="preserve">It </w:t>
      </w:r>
      <w:r w:rsidRPr="00DE7082">
        <w:t>create</w:t>
      </w:r>
      <w:r w:rsidR="00080BBD">
        <w:t>s</w:t>
      </w:r>
      <w:r w:rsidRPr="00DE7082">
        <w:t xml:space="preserve"> a conflict between </w:t>
      </w:r>
      <w:r>
        <w:t xml:space="preserve">the </w:t>
      </w:r>
      <w:r w:rsidRPr="00DE7082">
        <w:t>cost report and what can be verified on claims data.</w:t>
      </w:r>
    </w:p>
    <w:p w:rsidR="00227DCB" w:rsidRPr="00DE7082" w:rsidRDefault="00227DCB" w:rsidP="00227DCB"/>
    <w:p w:rsidR="00227DCB" w:rsidRDefault="00080BBD" w:rsidP="00227DCB">
      <w:r>
        <w:t>N</w:t>
      </w:r>
      <w:r w:rsidR="00227DCB" w:rsidRPr="00DE7082">
        <w:t>ot all commercial insurers recognize PAs or NPs</w:t>
      </w:r>
      <w:r w:rsidR="00227DCB">
        <w:t>,</w:t>
      </w:r>
      <w:r w:rsidR="00227DCB" w:rsidRPr="00DE7082">
        <w:t xml:space="preserve"> or they have specific supervision/collaboration requirements that must be met as a condition for payment</w:t>
      </w:r>
      <w:r w:rsidR="00227DCB">
        <w:t xml:space="preserve">, </w:t>
      </w:r>
      <w:r w:rsidR="00227DCB" w:rsidRPr="00DE7082">
        <w:t xml:space="preserve">despite the fact that the service </w:t>
      </w:r>
      <w:r>
        <w:t xml:space="preserve">was </w:t>
      </w:r>
      <w:r w:rsidR="00227DCB" w:rsidRPr="00DE7082">
        <w:t>provided in accordance with state law</w:t>
      </w:r>
      <w:r w:rsidR="00227DCB">
        <w:t>/</w:t>
      </w:r>
      <w:r w:rsidR="00227DCB" w:rsidRPr="00DE7082">
        <w:t>regulat</w:t>
      </w:r>
      <w:r w:rsidR="00227DCB">
        <w:t>i</w:t>
      </w:r>
      <w:r w:rsidR="00227DCB" w:rsidRPr="00DE7082">
        <w:t>o</w:t>
      </w:r>
      <w:r w:rsidR="00227DCB">
        <w:t>n</w:t>
      </w:r>
      <w:r w:rsidR="00227DCB" w:rsidRPr="00DE7082">
        <w:t>.  Some commercial insurers only want the physician</w:t>
      </w:r>
      <w:r w:rsidR="00A5611C">
        <w:t xml:space="preserve"> identified</w:t>
      </w:r>
      <w:r>
        <w:t xml:space="preserve"> on the claim form</w:t>
      </w:r>
      <w:r w:rsidR="00227DCB" w:rsidRPr="00DE7082">
        <w:t xml:space="preserve">, </w:t>
      </w:r>
      <w:r w:rsidR="00227DCB">
        <w:t xml:space="preserve">while </w:t>
      </w:r>
      <w:r w:rsidR="00227DCB" w:rsidRPr="00DE7082">
        <w:t xml:space="preserve">others require </w:t>
      </w:r>
      <w:r w:rsidR="00A5611C">
        <w:t xml:space="preserve">the </w:t>
      </w:r>
      <w:r w:rsidR="00227DCB" w:rsidRPr="00DE7082">
        <w:t>identi</w:t>
      </w:r>
      <w:r w:rsidR="00A5611C">
        <w:t>t</w:t>
      </w:r>
      <w:r w:rsidR="00227DCB" w:rsidRPr="00DE7082">
        <w:t xml:space="preserve">y </w:t>
      </w:r>
      <w:r w:rsidR="00A5611C">
        <w:t xml:space="preserve">of the providing </w:t>
      </w:r>
      <w:r w:rsidR="00227DCB">
        <w:t xml:space="preserve">PA or NP.  </w:t>
      </w:r>
      <w:r>
        <w:t>This complicates claims whe</w:t>
      </w:r>
      <w:r w:rsidR="00B63041">
        <w:t>n</w:t>
      </w:r>
      <w:r>
        <w:t xml:space="preserve"> the patient has two types of </w:t>
      </w:r>
      <w:r w:rsidR="00B63041">
        <w:t xml:space="preserve">insurance </w:t>
      </w:r>
      <w:r>
        <w:t>coverage</w:t>
      </w:r>
      <w:r w:rsidR="00B63041">
        <w:t>.</w:t>
      </w:r>
    </w:p>
    <w:p w:rsidR="00227DCB" w:rsidRDefault="00227DCB" w:rsidP="00227DCB"/>
    <w:p w:rsidR="00227DCB" w:rsidRPr="00627132" w:rsidRDefault="005D5F84" w:rsidP="00227DCB">
      <w:pPr>
        <w:rPr>
          <w:b/>
        </w:rPr>
      </w:pPr>
      <w:r>
        <w:rPr>
          <w:b/>
        </w:rPr>
        <w:t>Lab/</w:t>
      </w:r>
      <w:r w:rsidR="00227DCB">
        <w:rPr>
          <w:b/>
        </w:rPr>
        <w:t>Diagnostic Services</w:t>
      </w:r>
    </w:p>
    <w:p w:rsidR="00227DCB" w:rsidRPr="001A02EC" w:rsidRDefault="00E557E2" w:rsidP="00E557E2">
      <w:r>
        <w:t>RHCs are required to “directly furnish routine diagnostic and laboratory services” and to “fu</w:t>
      </w:r>
      <w:r w:rsidRPr="00E557E2">
        <w:t>rnish onsite all of the</w:t>
      </w:r>
      <w:r>
        <w:t xml:space="preserve"> following six laboratory tests”:  </w:t>
      </w:r>
      <w:r w:rsidR="00227DCB" w:rsidRPr="001A02EC">
        <w:t>urine</w:t>
      </w:r>
      <w:r w:rsidR="00EA00C5">
        <w:t xml:space="preserve"> (by stick and/or tablet);</w:t>
      </w:r>
      <w:r w:rsidR="00227DCB" w:rsidRPr="001A02EC">
        <w:t xml:space="preserve"> hemoglobin</w:t>
      </w:r>
      <w:r w:rsidR="00EA00C5">
        <w:t xml:space="preserve"> or </w:t>
      </w:r>
      <w:r w:rsidR="00A5611C">
        <w:t>hematocrit</w:t>
      </w:r>
      <w:r w:rsidR="00EA00C5">
        <w:t>;</w:t>
      </w:r>
      <w:r w:rsidR="00A5611C">
        <w:t xml:space="preserve"> blood sugar</w:t>
      </w:r>
      <w:r w:rsidR="00EA00C5">
        <w:t>;</w:t>
      </w:r>
      <w:r w:rsidR="00A5611C">
        <w:t xml:space="preserve"> stool </w:t>
      </w:r>
      <w:r w:rsidR="00F936E8">
        <w:t>specimen</w:t>
      </w:r>
      <w:r w:rsidR="00EA00C5">
        <w:t xml:space="preserve"> (for occult blood);</w:t>
      </w:r>
      <w:r w:rsidR="00227DCB" w:rsidRPr="001A02EC">
        <w:t xml:space="preserve"> pregnancy</w:t>
      </w:r>
      <w:r w:rsidR="00EA00C5">
        <w:t>;</w:t>
      </w:r>
      <w:r w:rsidR="00227DCB" w:rsidRPr="001A02EC">
        <w:t xml:space="preserve"> </w:t>
      </w:r>
      <w:r w:rsidR="00227DCB">
        <w:t xml:space="preserve">and </w:t>
      </w:r>
      <w:r w:rsidR="00227DCB" w:rsidRPr="001A02EC">
        <w:t>pr</w:t>
      </w:r>
      <w:r w:rsidR="00227DCB">
        <w:t>imary culturing for transmittal</w:t>
      </w:r>
      <w:r w:rsidR="00EA00C5">
        <w:t xml:space="preserve"> to a lab</w:t>
      </w:r>
      <w:r w:rsidR="00227DCB">
        <w:t>.</w:t>
      </w:r>
      <w:r>
        <w:t xml:space="preserve">  CMS interprets this to mean that RHCs must be able to perform all of these tests, but may have the labs drawn elsewhere (e.g., provider-based RHC may use hospital lab).</w:t>
      </w:r>
    </w:p>
    <w:p w:rsidR="00227DCB" w:rsidRDefault="00227DCB" w:rsidP="00227DCB"/>
    <w:p w:rsidR="00227DCB" w:rsidRDefault="00227DCB" w:rsidP="00421FD1">
      <w:pPr>
        <w:spacing w:after="80"/>
      </w:pPr>
      <w:r w:rsidRPr="00DB1985">
        <w:t>RHC</w:t>
      </w:r>
      <w:r w:rsidR="00F936E8">
        <w:t>s</w:t>
      </w:r>
      <w:r w:rsidRPr="00DB1985">
        <w:t xml:space="preserve"> bill Part B </w:t>
      </w:r>
      <w:r>
        <w:t>separately for the t</w:t>
      </w:r>
      <w:r w:rsidRPr="00DB1985">
        <w:t>echnical</w:t>
      </w:r>
      <w:r>
        <w:t xml:space="preserve"> components of diagnostic tests, labs, and </w:t>
      </w:r>
      <w:proofErr w:type="spellStart"/>
      <w:r w:rsidRPr="00DB1985">
        <w:t>venipunctures</w:t>
      </w:r>
      <w:proofErr w:type="spellEnd"/>
      <w:r>
        <w:t xml:space="preserve">, as well as </w:t>
      </w:r>
      <w:r w:rsidRPr="00DB1985">
        <w:t>DME products (to</w:t>
      </w:r>
      <w:r>
        <w:t xml:space="preserve"> </w:t>
      </w:r>
      <w:r w:rsidRPr="00DB1985">
        <w:t>th</w:t>
      </w:r>
      <w:r>
        <w:t>e DME MAC)</w:t>
      </w:r>
      <w:r w:rsidRPr="00DB1985">
        <w:t xml:space="preserve">.  </w:t>
      </w:r>
      <w:r w:rsidR="00F936E8">
        <w:t xml:space="preserve">They </w:t>
      </w:r>
      <w:r>
        <w:t xml:space="preserve">are </w:t>
      </w:r>
      <w:r w:rsidRPr="00685150">
        <w:rPr>
          <w:u w:val="single"/>
        </w:rPr>
        <w:t>not</w:t>
      </w:r>
      <w:r>
        <w:t xml:space="preserve"> bundled with the all-inclusive rate (</w:t>
      </w:r>
      <w:r w:rsidRPr="00DB1985">
        <w:t>since</w:t>
      </w:r>
      <w:r>
        <w:t xml:space="preserve"> </w:t>
      </w:r>
      <w:r w:rsidR="004A49ED">
        <w:t xml:space="preserve">January 1, </w:t>
      </w:r>
      <w:r w:rsidRPr="00DB1985">
        <w:t>2001</w:t>
      </w:r>
      <w:r>
        <w:t>)</w:t>
      </w:r>
      <w:r w:rsidR="00685150">
        <w:t>, including the six required tests</w:t>
      </w:r>
      <w:r w:rsidRPr="00DB1985">
        <w:t>.  There is no Medicare co-pay for labs.</w:t>
      </w:r>
    </w:p>
    <w:p w:rsidR="00421FD1" w:rsidRDefault="00227DCB" w:rsidP="00421FD1">
      <w:pPr>
        <w:pStyle w:val="ListParagraph"/>
        <w:numPr>
          <w:ilvl w:val="0"/>
          <w:numId w:val="19"/>
        </w:numPr>
        <w:spacing w:after="80"/>
        <w:ind w:left="360" w:hanging="270"/>
        <w:contextualSpacing w:val="0"/>
      </w:pPr>
      <w:r w:rsidRPr="00627132">
        <w:t>For independent RHCs, the technical component</w:t>
      </w:r>
      <w:r>
        <w:t xml:space="preserve"> </w:t>
      </w:r>
      <w:r w:rsidRPr="00627132">
        <w:t xml:space="preserve">of any </w:t>
      </w:r>
      <w:r>
        <w:t xml:space="preserve">diagnostic </w:t>
      </w:r>
      <w:r w:rsidRPr="00627132">
        <w:t>service</w:t>
      </w:r>
      <w:r>
        <w:t xml:space="preserve"> is billed </w:t>
      </w:r>
      <w:r w:rsidRPr="00627132">
        <w:t xml:space="preserve">using the </w:t>
      </w:r>
      <w:r w:rsidR="00E24501">
        <w:t xml:space="preserve">clinic’s </w:t>
      </w:r>
      <w:r>
        <w:t>NPI</w:t>
      </w:r>
      <w:r w:rsidR="00E24501">
        <w:t>, as well as that of the rendering provider</w:t>
      </w:r>
      <w:r w:rsidR="00685150" w:rsidRPr="00E24501">
        <w:t>.</w:t>
      </w:r>
    </w:p>
    <w:p w:rsidR="00421FD1" w:rsidRDefault="00227DCB" w:rsidP="00421FD1">
      <w:pPr>
        <w:pStyle w:val="ListParagraph"/>
        <w:numPr>
          <w:ilvl w:val="0"/>
          <w:numId w:val="19"/>
        </w:numPr>
        <w:spacing w:after="80"/>
        <w:ind w:left="360" w:hanging="270"/>
        <w:contextualSpacing w:val="0"/>
      </w:pPr>
      <w:r w:rsidRPr="00627132">
        <w:t xml:space="preserve">For </w:t>
      </w:r>
      <w:r>
        <w:t>p</w:t>
      </w:r>
      <w:r w:rsidRPr="00627132">
        <w:t>rovider-based</w:t>
      </w:r>
      <w:r>
        <w:t xml:space="preserve"> RHCs</w:t>
      </w:r>
      <w:r w:rsidRPr="00627132">
        <w:t xml:space="preserve">, the technical component </w:t>
      </w:r>
      <w:r>
        <w:t xml:space="preserve">is </w:t>
      </w:r>
      <w:r w:rsidRPr="00627132">
        <w:t xml:space="preserve">billed under the hospital </w:t>
      </w:r>
      <w:r>
        <w:t xml:space="preserve">outpatient </w:t>
      </w:r>
      <w:r w:rsidRPr="00627132">
        <w:t xml:space="preserve">provider number </w:t>
      </w:r>
      <w:r w:rsidRPr="00501110">
        <w:t>on the 851 Type of Bill</w:t>
      </w:r>
      <w:r w:rsidRPr="00627132">
        <w:t xml:space="preserve"> to </w:t>
      </w:r>
      <w:r>
        <w:t xml:space="preserve">the hospital’s </w:t>
      </w:r>
      <w:r w:rsidRPr="00627132">
        <w:t xml:space="preserve">MAC.  </w:t>
      </w:r>
      <w:r>
        <w:t>A</w:t>
      </w:r>
      <w:r w:rsidRPr="00501110">
        <w:t xml:space="preserve"> CAH can have only one 851 TOB submitted for each date of service</w:t>
      </w:r>
      <w:r>
        <w:t>,</w:t>
      </w:r>
      <w:r w:rsidRPr="00501110">
        <w:t xml:space="preserve"> so </w:t>
      </w:r>
      <w:r>
        <w:t xml:space="preserve">the RHC </w:t>
      </w:r>
      <w:r w:rsidRPr="00501110">
        <w:lastRenderedPageBreak/>
        <w:t xml:space="preserve">services </w:t>
      </w:r>
      <w:r>
        <w:t xml:space="preserve">must be </w:t>
      </w:r>
      <w:r w:rsidRPr="00501110">
        <w:t>billed at the same time</w:t>
      </w:r>
      <w:r>
        <w:t xml:space="preserve"> if </w:t>
      </w:r>
      <w:r w:rsidRPr="00501110">
        <w:t xml:space="preserve">the CAH </w:t>
      </w:r>
      <w:r>
        <w:t xml:space="preserve">has </w:t>
      </w:r>
      <w:r w:rsidRPr="00501110">
        <w:t>services on the same day.  Many PB</w:t>
      </w:r>
      <w:r>
        <w:t>-</w:t>
      </w:r>
      <w:r w:rsidRPr="00501110">
        <w:t xml:space="preserve">RHCs have the CAH do the billing so all </w:t>
      </w:r>
      <w:r>
        <w:t xml:space="preserve">are on </w:t>
      </w:r>
      <w:r w:rsidRPr="00501110">
        <w:t>the claim at the same time.</w:t>
      </w:r>
    </w:p>
    <w:p w:rsidR="00227DCB" w:rsidRPr="00627132" w:rsidRDefault="00227DCB" w:rsidP="00421FD1">
      <w:pPr>
        <w:pStyle w:val="ListParagraph"/>
        <w:numPr>
          <w:ilvl w:val="0"/>
          <w:numId w:val="19"/>
        </w:numPr>
        <w:ind w:left="360" w:hanging="270"/>
      </w:pPr>
      <w:r w:rsidRPr="00627132">
        <w:t xml:space="preserve">For </w:t>
      </w:r>
      <w:r>
        <w:t xml:space="preserve">all </w:t>
      </w:r>
      <w:r w:rsidRPr="00627132">
        <w:t>RHCs, the professional components are bundled with the face-to-face encounter.</w:t>
      </w:r>
    </w:p>
    <w:p w:rsidR="00E557E2" w:rsidRDefault="00E557E2" w:rsidP="00227DCB"/>
    <w:p w:rsidR="00227DCB" w:rsidRDefault="00227DCB" w:rsidP="00227DCB">
      <w:r>
        <w:t xml:space="preserve">RHCs must have </w:t>
      </w:r>
      <w:r w:rsidRPr="00DE3872">
        <w:t xml:space="preserve">the appropriate CLIA certification for tests </w:t>
      </w:r>
      <w:r>
        <w:t xml:space="preserve">being </w:t>
      </w:r>
      <w:r w:rsidRPr="00DE3872">
        <w:t>perform</w:t>
      </w:r>
      <w:r>
        <w:t>ed</w:t>
      </w:r>
      <w:r w:rsidRPr="00DE3872">
        <w:t xml:space="preserve">. </w:t>
      </w:r>
      <w:r>
        <w:t xml:space="preserve"> </w:t>
      </w:r>
      <w:r w:rsidRPr="00DE3872">
        <w:t xml:space="preserve">While </w:t>
      </w:r>
      <w:r>
        <w:t>many tests are waived</w:t>
      </w:r>
      <w:r w:rsidRPr="00DE3872">
        <w:t xml:space="preserve">, some kits are marked for </w:t>
      </w:r>
      <w:r>
        <w:t>moderate</w:t>
      </w:r>
      <w:r w:rsidRPr="00DE3872">
        <w:rPr>
          <w:rFonts w:ascii="Calibri" w:hAnsi="Calibri" w:cs="Calibri"/>
        </w:rPr>
        <w:t xml:space="preserve"> complexity laboratories. </w:t>
      </w:r>
      <w:r>
        <w:rPr>
          <w:rFonts w:ascii="Calibri" w:hAnsi="Calibri" w:cs="Calibri"/>
        </w:rPr>
        <w:t xml:space="preserve"> For example, if practitioners </w:t>
      </w:r>
      <w:r w:rsidRPr="00DE3872">
        <w:rPr>
          <w:rFonts w:ascii="Calibri" w:hAnsi="Calibri" w:cs="Calibri"/>
        </w:rPr>
        <w:t>are doing microscopy</w:t>
      </w:r>
      <w:r>
        <w:rPr>
          <w:rFonts w:ascii="Calibri" w:hAnsi="Calibri" w:cs="Calibri"/>
        </w:rPr>
        <w:t>,</w:t>
      </w:r>
      <w:r w:rsidRPr="00DE3872">
        <w:rPr>
          <w:rFonts w:ascii="Calibri" w:hAnsi="Calibri" w:cs="Calibri"/>
        </w:rPr>
        <w:t xml:space="preserve"> </w:t>
      </w:r>
      <w:r>
        <w:rPr>
          <w:rFonts w:ascii="Calibri" w:hAnsi="Calibri" w:cs="Calibri"/>
        </w:rPr>
        <w:t xml:space="preserve">the RHC </w:t>
      </w:r>
      <w:r w:rsidRPr="00DE3872">
        <w:rPr>
          <w:rFonts w:ascii="Calibri" w:hAnsi="Calibri" w:cs="Calibri"/>
        </w:rPr>
        <w:t xml:space="preserve">should have at least a </w:t>
      </w:r>
      <w:r>
        <w:rPr>
          <w:rFonts w:ascii="Calibri" w:hAnsi="Calibri" w:cs="Calibri"/>
        </w:rPr>
        <w:t>Provider-Performed Microscopy</w:t>
      </w:r>
      <w:r w:rsidRPr="00DE3872">
        <w:rPr>
          <w:rFonts w:ascii="Calibri" w:hAnsi="Calibri" w:cs="Calibri"/>
        </w:rPr>
        <w:t xml:space="preserve"> certificate. </w:t>
      </w:r>
      <w:r>
        <w:rPr>
          <w:rFonts w:ascii="Calibri" w:hAnsi="Calibri" w:cs="Calibri"/>
        </w:rPr>
        <w:t xml:space="preserve"> </w:t>
      </w:r>
      <w:r w:rsidRPr="00DE3872">
        <w:rPr>
          <w:rFonts w:ascii="Calibri" w:hAnsi="Calibri" w:cs="Calibri"/>
        </w:rPr>
        <w:t>Most simple che</w:t>
      </w:r>
      <w:r w:rsidRPr="00DE3872">
        <w:t>mistry tests are available as waived</w:t>
      </w:r>
      <w:r>
        <w:t>,</w:t>
      </w:r>
      <w:r w:rsidRPr="00DE3872">
        <w:t xml:space="preserve"> but some are not. </w:t>
      </w:r>
      <w:r>
        <w:t xml:space="preserve"> </w:t>
      </w:r>
      <w:r w:rsidRPr="00DE3872">
        <w:t xml:space="preserve">Having a moderate complexity lab </w:t>
      </w:r>
      <w:r>
        <w:t>requires participation</w:t>
      </w:r>
      <w:r w:rsidRPr="00DE3872">
        <w:t xml:space="preserve"> in a proficiency program.</w:t>
      </w:r>
    </w:p>
    <w:p w:rsidR="00227DCB" w:rsidRDefault="00227DCB" w:rsidP="00227DCB"/>
    <w:p w:rsidR="00227ABD" w:rsidRPr="001D4C78" w:rsidRDefault="00227ABD" w:rsidP="00227ABD">
      <w:r w:rsidRPr="001D4C78">
        <w:rPr>
          <w:b/>
        </w:rPr>
        <w:t>ICD-10/5010 Issues</w:t>
      </w:r>
      <w:r>
        <w:t xml:space="preserve"> </w:t>
      </w:r>
    </w:p>
    <w:p w:rsidR="007E7D6B" w:rsidRDefault="007E7D6B" w:rsidP="007E7D6B">
      <w:r>
        <w:t xml:space="preserve">Small provider ICD-10 info:  </w:t>
      </w:r>
      <w:hyperlink r:id="rId26" w:history="1">
        <w:r w:rsidRPr="00F86F0F">
          <w:rPr>
            <w:rStyle w:val="Hyperlink"/>
          </w:rPr>
          <w:t>http://www.cms.gov/Medicare/Coding/ICD10/ICD-10ImplementationTimelines.html</w:t>
        </w:r>
      </w:hyperlink>
    </w:p>
    <w:p w:rsidR="007E7D6B" w:rsidRDefault="007E7D6B" w:rsidP="007E7D6B"/>
    <w:p w:rsidR="00227ABD" w:rsidRDefault="00227ABD" w:rsidP="00064E4B">
      <w:pPr>
        <w:spacing w:after="120"/>
      </w:pPr>
      <w:r w:rsidRPr="001D4C78">
        <w:t xml:space="preserve">5010 </w:t>
      </w:r>
      <w:r w:rsidR="00064E4B">
        <w:t>requirements for RHC billing:</w:t>
      </w:r>
      <w:r w:rsidR="008C5793">
        <w:t xml:space="preserve">  </w:t>
      </w:r>
      <w:r w:rsidR="008C5793" w:rsidRPr="008C5793">
        <w:rPr>
          <w:i/>
        </w:rPr>
        <w:t>(per Janet Lytton, 01/24/12)</w:t>
      </w:r>
    </w:p>
    <w:p w:rsidR="00227ABD" w:rsidRPr="007E7D6B" w:rsidRDefault="00227ABD" w:rsidP="0010008D">
      <w:pPr>
        <w:pStyle w:val="ListParagraph"/>
        <w:numPr>
          <w:ilvl w:val="0"/>
          <w:numId w:val="18"/>
        </w:numPr>
        <w:spacing w:after="120"/>
        <w:ind w:left="360" w:hanging="274"/>
        <w:contextualSpacing w:val="0"/>
        <w:rPr>
          <w:sz w:val="21"/>
          <w:szCs w:val="21"/>
        </w:rPr>
      </w:pPr>
      <w:r w:rsidRPr="007E7D6B">
        <w:rPr>
          <w:sz w:val="21"/>
          <w:szCs w:val="21"/>
        </w:rPr>
        <w:t xml:space="preserve">FL 14 Type = 1 Emergency; 2 Urgent; 3 Elective; 4 newborn; 5 trauma center; 9 unavailable.  </w:t>
      </w:r>
      <w:r w:rsidRPr="005D5F84">
        <w:rPr>
          <w:i/>
          <w:sz w:val="21"/>
          <w:szCs w:val="21"/>
        </w:rPr>
        <w:t>RHC typically uses 2 or 3.</w:t>
      </w:r>
    </w:p>
    <w:p w:rsidR="00227ABD" w:rsidRPr="007E7D6B" w:rsidRDefault="00227ABD" w:rsidP="0010008D">
      <w:pPr>
        <w:pStyle w:val="ListParagraph"/>
        <w:numPr>
          <w:ilvl w:val="0"/>
          <w:numId w:val="18"/>
        </w:numPr>
        <w:spacing w:after="120"/>
        <w:ind w:left="360" w:hanging="274"/>
        <w:contextualSpacing w:val="0"/>
        <w:rPr>
          <w:sz w:val="21"/>
          <w:szCs w:val="21"/>
        </w:rPr>
      </w:pPr>
      <w:r w:rsidRPr="007E7D6B">
        <w:rPr>
          <w:sz w:val="21"/>
          <w:szCs w:val="21"/>
        </w:rPr>
        <w:t>FL 15 Source = 1 non</w:t>
      </w:r>
      <w:r w:rsidR="00064E4B" w:rsidRPr="007E7D6B">
        <w:rPr>
          <w:sz w:val="21"/>
          <w:szCs w:val="21"/>
        </w:rPr>
        <w:t>-</w:t>
      </w:r>
      <w:r w:rsidRPr="007E7D6B">
        <w:rPr>
          <w:sz w:val="21"/>
          <w:szCs w:val="21"/>
        </w:rPr>
        <w:t xml:space="preserve">healthcare point of origin; 5 transfer from ICF, SNF or ALF; 9 info not available.  </w:t>
      </w:r>
      <w:r w:rsidRPr="005D5F84">
        <w:rPr>
          <w:i/>
          <w:sz w:val="21"/>
          <w:szCs w:val="21"/>
        </w:rPr>
        <w:t xml:space="preserve">RHC </w:t>
      </w:r>
      <w:r w:rsidR="00064E4B" w:rsidRPr="005D5F84">
        <w:rPr>
          <w:i/>
          <w:sz w:val="21"/>
          <w:szCs w:val="21"/>
        </w:rPr>
        <w:t xml:space="preserve">usually </w:t>
      </w:r>
      <w:r w:rsidRPr="005D5F84">
        <w:rPr>
          <w:i/>
          <w:sz w:val="21"/>
          <w:szCs w:val="21"/>
        </w:rPr>
        <w:t>uses 1</w:t>
      </w:r>
      <w:r w:rsidRPr="007E7D6B">
        <w:rPr>
          <w:sz w:val="21"/>
          <w:szCs w:val="21"/>
        </w:rPr>
        <w:t>.</w:t>
      </w:r>
    </w:p>
    <w:p w:rsidR="00227ABD" w:rsidRPr="007E7D6B" w:rsidRDefault="00064E4B" w:rsidP="0010008D">
      <w:pPr>
        <w:pStyle w:val="ListParagraph"/>
        <w:numPr>
          <w:ilvl w:val="0"/>
          <w:numId w:val="18"/>
        </w:numPr>
        <w:spacing w:after="120"/>
        <w:ind w:left="360" w:hanging="274"/>
        <w:contextualSpacing w:val="0"/>
        <w:rPr>
          <w:sz w:val="21"/>
          <w:szCs w:val="21"/>
        </w:rPr>
      </w:pPr>
      <w:r w:rsidRPr="007E7D6B">
        <w:rPr>
          <w:sz w:val="21"/>
          <w:szCs w:val="21"/>
        </w:rPr>
        <w:t>FL 17 Stat</w:t>
      </w:r>
      <w:r w:rsidR="00227ABD" w:rsidRPr="007E7D6B">
        <w:rPr>
          <w:sz w:val="21"/>
          <w:szCs w:val="21"/>
        </w:rPr>
        <w:t xml:space="preserve">us = 01 discharged to home or self-care (routine discharge); 02 discharged to hospital; 03 discharged to a SNF; 04 discharged to a facility with custodial care.  </w:t>
      </w:r>
      <w:r w:rsidR="00227ABD" w:rsidRPr="005D5F84">
        <w:rPr>
          <w:i/>
          <w:sz w:val="21"/>
          <w:szCs w:val="21"/>
        </w:rPr>
        <w:t>RHC typically uses 01.</w:t>
      </w:r>
    </w:p>
    <w:p w:rsidR="00227ABD" w:rsidRPr="007E7D6B" w:rsidRDefault="00227ABD" w:rsidP="0010008D">
      <w:pPr>
        <w:pStyle w:val="ListParagraph"/>
        <w:numPr>
          <w:ilvl w:val="0"/>
          <w:numId w:val="18"/>
        </w:numPr>
        <w:spacing w:after="120"/>
        <w:ind w:left="360" w:hanging="274"/>
        <w:contextualSpacing w:val="0"/>
        <w:rPr>
          <w:sz w:val="21"/>
          <w:szCs w:val="21"/>
        </w:rPr>
      </w:pPr>
      <w:r w:rsidRPr="007E7D6B">
        <w:rPr>
          <w:sz w:val="21"/>
          <w:szCs w:val="21"/>
        </w:rPr>
        <w:t>No admission date is required, only the statement covers dates.</w:t>
      </w:r>
    </w:p>
    <w:p w:rsidR="00227ABD" w:rsidRPr="007E7D6B" w:rsidRDefault="00227ABD" w:rsidP="0010008D">
      <w:pPr>
        <w:pStyle w:val="ListParagraph"/>
        <w:numPr>
          <w:ilvl w:val="0"/>
          <w:numId w:val="18"/>
        </w:numPr>
        <w:spacing w:after="120"/>
        <w:ind w:left="360" w:hanging="274"/>
        <w:contextualSpacing w:val="0"/>
        <w:rPr>
          <w:sz w:val="21"/>
          <w:szCs w:val="21"/>
        </w:rPr>
      </w:pPr>
      <w:r w:rsidRPr="007E7D6B">
        <w:rPr>
          <w:sz w:val="21"/>
          <w:szCs w:val="21"/>
        </w:rPr>
        <w:t>Each claim must have FL 52 REL. INFO (release of information) and FL 53 ASG.BEN (assignment of benefits</w:t>
      </w:r>
      <w:r w:rsidR="00064E4B" w:rsidRPr="007E7D6B">
        <w:rPr>
          <w:sz w:val="21"/>
          <w:szCs w:val="21"/>
        </w:rPr>
        <w:t>)</w:t>
      </w:r>
      <w:r w:rsidRPr="007E7D6B">
        <w:rPr>
          <w:sz w:val="21"/>
          <w:szCs w:val="21"/>
        </w:rPr>
        <w:t xml:space="preserve"> marked.  </w:t>
      </w:r>
      <w:r w:rsidRPr="005D5F84">
        <w:rPr>
          <w:i/>
          <w:sz w:val="21"/>
          <w:szCs w:val="21"/>
        </w:rPr>
        <w:t>RHC typically responds Y (yes) and Y (yes).</w:t>
      </w:r>
    </w:p>
    <w:p w:rsidR="00227ABD" w:rsidRPr="007E7D6B" w:rsidRDefault="00227ABD" w:rsidP="0010008D">
      <w:pPr>
        <w:pStyle w:val="ListParagraph"/>
        <w:numPr>
          <w:ilvl w:val="0"/>
          <w:numId w:val="18"/>
        </w:numPr>
        <w:spacing w:after="120"/>
        <w:ind w:left="360" w:hanging="274"/>
        <w:contextualSpacing w:val="0"/>
        <w:rPr>
          <w:sz w:val="21"/>
          <w:szCs w:val="21"/>
        </w:rPr>
      </w:pPr>
      <w:r w:rsidRPr="007E7D6B">
        <w:rPr>
          <w:sz w:val="21"/>
          <w:szCs w:val="21"/>
        </w:rPr>
        <w:t>Claims are paid based on the NPI #</w:t>
      </w:r>
      <w:r w:rsidR="00064E4B" w:rsidRPr="007E7D6B">
        <w:rPr>
          <w:sz w:val="21"/>
          <w:szCs w:val="21"/>
        </w:rPr>
        <w:t xml:space="preserve"> (FL 56).</w:t>
      </w:r>
    </w:p>
    <w:p w:rsidR="000C729A" w:rsidRPr="007E7D6B" w:rsidRDefault="000C729A" w:rsidP="0010008D">
      <w:pPr>
        <w:pStyle w:val="ListParagraph"/>
        <w:numPr>
          <w:ilvl w:val="0"/>
          <w:numId w:val="18"/>
        </w:numPr>
        <w:spacing w:after="120"/>
        <w:ind w:left="360" w:hanging="274"/>
        <w:contextualSpacing w:val="0"/>
        <w:rPr>
          <w:sz w:val="21"/>
          <w:szCs w:val="21"/>
        </w:rPr>
      </w:pPr>
      <w:r w:rsidRPr="007E7D6B">
        <w:rPr>
          <w:sz w:val="21"/>
          <w:szCs w:val="21"/>
        </w:rPr>
        <w:t>FL 70 Patient reason for visit – diagnosis code</w:t>
      </w:r>
    </w:p>
    <w:p w:rsidR="00227ABD" w:rsidRPr="007E7D6B" w:rsidRDefault="00227ABD" w:rsidP="0010008D">
      <w:pPr>
        <w:pStyle w:val="ListParagraph"/>
        <w:numPr>
          <w:ilvl w:val="0"/>
          <w:numId w:val="18"/>
        </w:numPr>
        <w:spacing w:after="120"/>
        <w:ind w:left="360" w:hanging="274"/>
        <w:contextualSpacing w:val="0"/>
        <w:rPr>
          <w:sz w:val="21"/>
          <w:szCs w:val="21"/>
        </w:rPr>
      </w:pPr>
      <w:r w:rsidRPr="007E7D6B">
        <w:rPr>
          <w:sz w:val="21"/>
          <w:szCs w:val="21"/>
        </w:rPr>
        <w:t>The taxonomy code for the RHC listed in FL 81CC is code B3</w:t>
      </w:r>
      <w:r w:rsidR="00064E4B" w:rsidRPr="007E7D6B">
        <w:rPr>
          <w:sz w:val="21"/>
          <w:szCs w:val="21"/>
        </w:rPr>
        <w:t xml:space="preserve"> </w:t>
      </w:r>
      <w:r w:rsidRPr="007E7D6B">
        <w:rPr>
          <w:sz w:val="21"/>
          <w:szCs w:val="21"/>
        </w:rPr>
        <w:t>(in first small box) 261QR1300X</w:t>
      </w:r>
      <w:r w:rsidR="000C729A" w:rsidRPr="007E7D6B">
        <w:rPr>
          <w:sz w:val="21"/>
          <w:szCs w:val="21"/>
        </w:rPr>
        <w:t xml:space="preserve"> (matches 855A).</w:t>
      </w:r>
    </w:p>
    <w:p w:rsidR="00227ABD" w:rsidRPr="007E7D6B" w:rsidRDefault="00227ABD" w:rsidP="0010008D">
      <w:pPr>
        <w:pStyle w:val="ListParagraph"/>
        <w:numPr>
          <w:ilvl w:val="0"/>
          <w:numId w:val="18"/>
        </w:numPr>
        <w:spacing w:after="120"/>
        <w:ind w:left="360" w:hanging="274"/>
        <w:contextualSpacing w:val="0"/>
        <w:rPr>
          <w:sz w:val="21"/>
          <w:szCs w:val="21"/>
        </w:rPr>
      </w:pPr>
      <w:r w:rsidRPr="007E7D6B">
        <w:rPr>
          <w:sz w:val="21"/>
          <w:szCs w:val="21"/>
        </w:rPr>
        <w:t>The Name of the Facility with the correct 9 digit zip</w:t>
      </w:r>
      <w:r w:rsidR="00064E4B" w:rsidRPr="007E7D6B">
        <w:rPr>
          <w:sz w:val="21"/>
          <w:szCs w:val="21"/>
        </w:rPr>
        <w:t xml:space="preserve"> </w:t>
      </w:r>
      <w:r w:rsidRPr="007E7D6B">
        <w:rPr>
          <w:sz w:val="21"/>
          <w:szCs w:val="21"/>
        </w:rPr>
        <w:t xml:space="preserve">code, the Tax ID, the NPI and the taxonomy code MUST match exactly or it will error out and not pass edits. </w:t>
      </w:r>
    </w:p>
    <w:p w:rsidR="00227ABD" w:rsidRDefault="00227ABD" w:rsidP="0010008D">
      <w:pPr>
        <w:pStyle w:val="ListParagraph"/>
        <w:numPr>
          <w:ilvl w:val="0"/>
          <w:numId w:val="18"/>
        </w:numPr>
        <w:ind w:left="360" w:hanging="270"/>
      </w:pPr>
      <w:r w:rsidRPr="007E7D6B">
        <w:rPr>
          <w:sz w:val="21"/>
          <w:szCs w:val="21"/>
        </w:rPr>
        <w:t xml:space="preserve">The claim </w:t>
      </w:r>
      <w:r w:rsidR="00064E4B" w:rsidRPr="007E7D6B">
        <w:rPr>
          <w:sz w:val="21"/>
          <w:szCs w:val="21"/>
        </w:rPr>
        <w:t>does not</w:t>
      </w:r>
      <w:r w:rsidRPr="007E7D6B">
        <w:rPr>
          <w:sz w:val="21"/>
          <w:szCs w:val="21"/>
        </w:rPr>
        <w:t xml:space="preserve"> require a HCPCS Code unless it is a preventive service </w:t>
      </w:r>
      <w:r w:rsidR="00064E4B" w:rsidRPr="007E7D6B">
        <w:rPr>
          <w:sz w:val="21"/>
          <w:szCs w:val="21"/>
        </w:rPr>
        <w:t xml:space="preserve">with </w:t>
      </w:r>
      <w:r w:rsidRPr="007E7D6B">
        <w:rPr>
          <w:sz w:val="21"/>
          <w:szCs w:val="21"/>
        </w:rPr>
        <w:t>no co</w:t>
      </w:r>
      <w:r w:rsidR="00064E4B" w:rsidRPr="007E7D6B">
        <w:rPr>
          <w:sz w:val="21"/>
          <w:szCs w:val="21"/>
        </w:rPr>
        <w:t>-</w:t>
      </w:r>
      <w:r w:rsidRPr="007E7D6B">
        <w:rPr>
          <w:sz w:val="21"/>
          <w:szCs w:val="21"/>
        </w:rPr>
        <w:t>pay or deductible.  If there is a visit and a preventive service, there must be two line items on the claim, each with 521 revenue code, so Medicare does not apply the co</w:t>
      </w:r>
      <w:r w:rsidR="00064E4B" w:rsidRPr="007E7D6B">
        <w:rPr>
          <w:sz w:val="21"/>
          <w:szCs w:val="21"/>
        </w:rPr>
        <w:t>-</w:t>
      </w:r>
      <w:r w:rsidRPr="007E7D6B">
        <w:rPr>
          <w:sz w:val="21"/>
          <w:szCs w:val="21"/>
        </w:rPr>
        <w:t>pay or deductible to the preventive service.  The clinic will receive the normal RHC rate; however, when the cost report is completed, the preventive charges are shown and the co</w:t>
      </w:r>
      <w:r w:rsidR="00064E4B" w:rsidRPr="007E7D6B">
        <w:rPr>
          <w:sz w:val="21"/>
          <w:szCs w:val="21"/>
        </w:rPr>
        <w:t>-</w:t>
      </w:r>
      <w:r w:rsidRPr="007E7D6B">
        <w:rPr>
          <w:sz w:val="21"/>
          <w:szCs w:val="21"/>
        </w:rPr>
        <w:t>pays will be added to the clinic settlement.</w:t>
      </w:r>
    </w:p>
    <w:p w:rsidR="008C5793" w:rsidRDefault="008C5793"/>
    <w:p w:rsidR="00FA6B2D" w:rsidRPr="00FA6B2D" w:rsidRDefault="00FA6B2D">
      <w:pPr>
        <w:rPr>
          <w:b/>
        </w:rPr>
      </w:pPr>
      <w:r w:rsidRPr="00FA6B2D">
        <w:rPr>
          <w:b/>
        </w:rPr>
        <w:t>RHC Charges</w:t>
      </w:r>
    </w:p>
    <w:p w:rsidR="00B06978" w:rsidRDefault="00FA6B2D" w:rsidP="00FA6B2D">
      <w:r>
        <w:t>Guidance for setting a</w:t>
      </w:r>
      <w:r w:rsidR="0011176E">
        <w:t xml:space="preserve"> schedule of </w:t>
      </w:r>
      <w:r w:rsidR="00A5611C">
        <w:t xml:space="preserve">RHC </w:t>
      </w:r>
      <w:r w:rsidR="0011176E">
        <w:t xml:space="preserve">charges:  </w:t>
      </w:r>
      <w:r>
        <w:t>F</w:t>
      </w:r>
      <w:r w:rsidRPr="00FA6B2D">
        <w:t>ee schedules can be obtained from various carriers</w:t>
      </w:r>
      <w:r w:rsidR="00A5611C">
        <w:t>’</w:t>
      </w:r>
      <w:r>
        <w:t xml:space="preserve"> (</w:t>
      </w:r>
      <w:r w:rsidRPr="00FA6B2D">
        <w:t>Medicare part B</w:t>
      </w:r>
      <w:r>
        <w:t>,</w:t>
      </w:r>
      <w:r w:rsidRPr="00FA6B2D">
        <w:t xml:space="preserve"> Medicaid</w:t>
      </w:r>
      <w:r>
        <w:t xml:space="preserve">, commercial) </w:t>
      </w:r>
      <w:r w:rsidRPr="00FA6B2D">
        <w:t>websites.</w:t>
      </w:r>
      <w:r>
        <w:t xml:space="preserve">  C</w:t>
      </w:r>
      <w:r w:rsidRPr="00FA6B2D">
        <w:t>reate a table showing the CPT and</w:t>
      </w:r>
      <w:r>
        <w:t xml:space="preserve"> </w:t>
      </w:r>
      <w:r w:rsidRPr="00FA6B2D">
        <w:t>description down the left side and the various carriers along the top</w:t>
      </w:r>
      <w:r w:rsidR="0011176E">
        <w:t xml:space="preserve">.  </w:t>
      </w:r>
      <w:r>
        <w:t xml:space="preserve">Enter </w:t>
      </w:r>
      <w:r w:rsidRPr="00FA6B2D">
        <w:t>the fees from the carriers into the table and set the</w:t>
      </w:r>
      <w:r>
        <w:t xml:space="preserve"> </w:t>
      </w:r>
      <w:r w:rsidRPr="00FA6B2D">
        <w:t>recommend</w:t>
      </w:r>
      <w:r>
        <w:t>ed</w:t>
      </w:r>
      <w:r w:rsidRPr="00FA6B2D">
        <w:t xml:space="preserve"> fee based on the highest payer (round up)</w:t>
      </w:r>
      <w:r>
        <w:t>.</w:t>
      </w:r>
      <w:r w:rsidR="00D31BDB">
        <w:t xml:space="preserve">  It isn’t advisable to set charges solely based on the Medicare schedule.</w:t>
      </w:r>
      <w:r w:rsidR="00B06978">
        <w:t xml:space="preserve">  </w:t>
      </w:r>
    </w:p>
    <w:p w:rsidR="00FA6B2D" w:rsidRPr="007970A7" w:rsidRDefault="00FA6B2D" w:rsidP="00FA6B2D">
      <w:pPr>
        <w:rPr>
          <w:sz w:val="18"/>
          <w:szCs w:val="18"/>
        </w:rPr>
      </w:pPr>
    </w:p>
    <w:tbl>
      <w:tblPr>
        <w:tblStyle w:val="TableGrid"/>
        <w:tblW w:w="0" w:type="auto"/>
        <w:tblInd w:w="288" w:type="dxa"/>
        <w:tblLook w:val="04A0" w:firstRow="1" w:lastRow="0" w:firstColumn="1" w:lastColumn="0" w:noHBand="0" w:noVBand="1"/>
      </w:tblPr>
      <w:tblGrid>
        <w:gridCol w:w="1008"/>
        <w:gridCol w:w="1440"/>
        <w:gridCol w:w="1080"/>
        <w:gridCol w:w="910"/>
        <w:gridCol w:w="894"/>
        <w:gridCol w:w="1076"/>
        <w:gridCol w:w="1080"/>
        <w:gridCol w:w="1710"/>
      </w:tblGrid>
      <w:tr w:rsidR="00FA6B2D" w:rsidRPr="00EE1755" w:rsidTr="005B79D9">
        <w:tc>
          <w:tcPr>
            <w:tcW w:w="1008" w:type="dxa"/>
          </w:tcPr>
          <w:p w:rsidR="00FA6B2D" w:rsidRPr="00EE1755" w:rsidRDefault="00FA6B2D" w:rsidP="00FA6B2D">
            <w:pPr>
              <w:rPr>
                <w:sz w:val="18"/>
                <w:szCs w:val="18"/>
              </w:rPr>
            </w:pPr>
            <w:r w:rsidRPr="00EE1755">
              <w:rPr>
                <w:sz w:val="18"/>
                <w:szCs w:val="18"/>
              </w:rPr>
              <w:t xml:space="preserve"> </w:t>
            </w:r>
          </w:p>
        </w:tc>
        <w:tc>
          <w:tcPr>
            <w:tcW w:w="1440" w:type="dxa"/>
          </w:tcPr>
          <w:p w:rsidR="00FA6B2D" w:rsidRPr="00EE1755" w:rsidRDefault="00FA6B2D" w:rsidP="00FA6B2D">
            <w:pPr>
              <w:rPr>
                <w:sz w:val="18"/>
                <w:szCs w:val="18"/>
              </w:rPr>
            </w:pPr>
          </w:p>
        </w:tc>
        <w:tc>
          <w:tcPr>
            <w:tcW w:w="1080" w:type="dxa"/>
          </w:tcPr>
          <w:p w:rsidR="00FA6B2D" w:rsidRPr="00EE1755" w:rsidRDefault="00FA6B2D" w:rsidP="00FA6B2D">
            <w:pPr>
              <w:rPr>
                <w:sz w:val="18"/>
                <w:szCs w:val="18"/>
              </w:rPr>
            </w:pPr>
            <w:r w:rsidRPr="00EE1755">
              <w:rPr>
                <w:sz w:val="18"/>
                <w:szCs w:val="18"/>
              </w:rPr>
              <w:t>Current Fee</w:t>
            </w:r>
          </w:p>
        </w:tc>
        <w:tc>
          <w:tcPr>
            <w:tcW w:w="910" w:type="dxa"/>
          </w:tcPr>
          <w:p w:rsidR="00FA6B2D" w:rsidRPr="00EE1755" w:rsidRDefault="00FA6B2D" w:rsidP="00FA6B2D">
            <w:pPr>
              <w:rPr>
                <w:sz w:val="18"/>
                <w:szCs w:val="18"/>
              </w:rPr>
            </w:pPr>
            <w:r w:rsidRPr="00EE1755">
              <w:rPr>
                <w:sz w:val="18"/>
                <w:szCs w:val="18"/>
              </w:rPr>
              <w:t>Medicare</w:t>
            </w:r>
          </w:p>
        </w:tc>
        <w:tc>
          <w:tcPr>
            <w:tcW w:w="894" w:type="dxa"/>
          </w:tcPr>
          <w:p w:rsidR="00FA6B2D" w:rsidRPr="00EE1755" w:rsidRDefault="00FA6B2D" w:rsidP="00FA6B2D">
            <w:pPr>
              <w:rPr>
                <w:sz w:val="18"/>
                <w:szCs w:val="18"/>
              </w:rPr>
            </w:pPr>
            <w:r w:rsidRPr="00EE1755">
              <w:rPr>
                <w:sz w:val="18"/>
                <w:szCs w:val="18"/>
              </w:rPr>
              <w:t>Medicaid</w:t>
            </w:r>
          </w:p>
        </w:tc>
        <w:tc>
          <w:tcPr>
            <w:tcW w:w="1076" w:type="dxa"/>
          </w:tcPr>
          <w:p w:rsidR="00FA6B2D" w:rsidRPr="00EE1755" w:rsidRDefault="00FA6B2D" w:rsidP="00FA6B2D">
            <w:pPr>
              <w:rPr>
                <w:sz w:val="18"/>
                <w:szCs w:val="18"/>
              </w:rPr>
            </w:pPr>
            <w:r w:rsidRPr="00EE1755">
              <w:rPr>
                <w:sz w:val="18"/>
                <w:szCs w:val="18"/>
              </w:rPr>
              <w:t>Insurance 1</w:t>
            </w:r>
          </w:p>
        </w:tc>
        <w:tc>
          <w:tcPr>
            <w:tcW w:w="1080" w:type="dxa"/>
          </w:tcPr>
          <w:p w:rsidR="00FA6B2D" w:rsidRPr="00EE1755" w:rsidRDefault="00FA6B2D" w:rsidP="00FA6B2D">
            <w:pPr>
              <w:rPr>
                <w:sz w:val="18"/>
                <w:szCs w:val="18"/>
              </w:rPr>
            </w:pPr>
            <w:r w:rsidRPr="00EE1755">
              <w:rPr>
                <w:sz w:val="18"/>
                <w:szCs w:val="18"/>
              </w:rPr>
              <w:t>Insurance 2</w:t>
            </w:r>
          </w:p>
        </w:tc>
        <w:tc>
          <w:tcPr>
            <w:tcW w:w="1710" w:type="dxa"/>
          </w:tcPr>
          <w:p w:rsidR="00FA6B2D" w:rsidRPr="00EE1755" w:rsidRDefault="00FA6B2D" w:rsidP="00FA6B2D">
            <w:pPr>
              <w:rPr>
                <w:sz w:val="18"/>
                <w:szCs w:val="18"/>
              </w:rPr>
            </w:pPr>
            <w:r w:rsidRPr="00EE1755">
              <w:rPr>
                <w:sz w:val="18"/>
                <w:szCs w:val="18"/>
              </w:rPr>
              <w:t>Recommended Fee</w:t>
            </w:r>
          </w:p>
        </w:tc>
      </w:tr>
      <w:tr w:rsidR="00FA6B2D" w:rsidRPr="00EE1755" w:rsidTr="005B79D9">
        <w:tc>
          <w:tcPr>
            <w:tcW w:w="1008" w:type="dxa"/>
          </w:tcPr>
          <w:p w:rsidR="00FA6B2D" w:rsidRPr="00EE1755" w:rsidRDefault="00FA6B2D" w:rsidP="00FA6B2D">
            <w:pPr>
              <w:rPr>
                <w:sz w:val="18"/>
                <w:szCs w:val="18"/>
              </w:rPr>
            </w:pPr>
            <w:r w:rsidRPr="00EE1755">
              <w:rPr>
                <w:sz w:val="18"/>
                <w:szCs w:val="18"/>
              </w:rPr>
              <w:t>CPT Code</w:t>
            </w:r>
          </w:p>
        </w:tc>
        <w:tc>
          <w:tcPr>
            <w:tcW w:w="1440" w:type="dxa"/>
          </w:tcPr>
          <w:p w:rsidR="00FA6B2D" w:rsidRPr="00EE1755" w:rsidRDefault="00FA6B2D" w:rsidP="00FA6B2D">
            <w:pPr>
              <w:rPr>
                <w:sz w:val="18"/>
                <w:szCs w:val="18"/>
              </w:rPr>
            </w:pPr>
            <w:r w:rsidRPr="00EE1755">
              <w:rPr>
                <w:sz w:val="18"/>
                <w:szCs w:val="18"/>
              </w:rPr>
              <w:t>Description</w:t>
            </w:r>
          </w:p>
        </w:tc>
        <w:tc>
          <w:tcPr>
            <w:tcW w:w="1080" w:type="dxa"/>
          </w:tcPr>
          <w:p w:rsidR="00FA6B2D" w:rsidRPr="00EE1755" w:rsidRDefault="00FA6B2D" w:rsidP="00FA6B2D">
            <w:pPr>
              <w:rPr>
                <w:sz w:val="18"/>
                <w:szCs w:val="18"/>
              </w:rPr>
            </w:pPr>
          </w:p>
        </w:tc>
        <w:tc>
          <w:tcPr>
            <w:tcW w:w="910" w:type="dxa"/>
          </w:tcPr>
          <w:p w:rsidR="00FA6B2D" w:rsidRPr="00EE1755" w:rsidRDefault="00FA6B2D" w:rsidP="00FA6B2D">
            <w:pPr>
              <w:rPr>
                <w:sz w:val="18"/>
                <w:szCs w:val="18"/>
              </w:rPr>
            </w:pPr>
          </w:p>
        </w:tc>
        <w:tc>
          <w:tcPr>
            <w:tcW w:w="894" w:type="dxa"/>
          </w:tcPr>
          <w:p w:rsidR="00FA6B2D" w:rsidRPr="00EE1755" w:rsidRDefault="00FA6B2D" w:rsidP="00FA6B2D">
            <w:pPr>
              <w:rPr>
                <w:sz w:val="18"/>
                <w:szCs w:val="18"/>
              </w:rPr>
            </w:pPr>
          </w:p>
        </w:tc>
        <w:tc>
          <w:tcPr>
            <w:tcW w:w="1076" w:type="dxa"/>
          </w:tcPr>
          <w:p w:rsidR="00FA6B2D" w:rsidRPr="00EE1755" w:rsidRDefault="00FA6B2D" w:rsidP="00FA6B2D">
            <w:pPr>
              <w:rPr>
                <w:sz w:val="18"/>
                <w:szCs w:val="18"/>
              </w:rPr>
            </w:pPr>
          </w:p>
        </w:tc>
        <w:tc>
          <w:tcPr>
            <w:tcW w:w="1080" w:type="dxa"/>
          </w:tcPr>
          <w:p w:rsidR="00FA6B2D" w:rsidRPr="00EE1755" w:rsidRDefault="00FA6B2D" w:rsidP="00FA6B2D">
            <w:pPr>
              <w:rPr>
                <w:sz w:val="18"/>
                <w:szCs w:val="18"/>
              </w:rPr>
            </w:pPr>
          </w:p>
        </w:tc>
        <w:tc>
          <w:tcPr>
            <w:tcW w:w="1710" w:type="dxa"/>
          </w:tcPr>
          <w:p w:rsidR="00FA6B2D" w:rsidRPr="00EE1755" w:rsidRDefault="00FA6B2D" w:rsidP="00FA6B2D">
            <w:pPr>
              <w:rPr>
                <w:sz w:val="18"/>
                <w:szCs w:val="18"/>
              </w:rPr>
            </w:pPr>
          </w:p>
        </w:tc>
      </w:tr>
    </w:tbl>
    <w:p w:rsidR="00FA6B2D" w:rsidRDefault="00FA6B2D"/>
    <w:p w:rsidR="0038245E" w:rsidRPr="00FA6B2D" w:rsidRDefault="0038245E" w:rsidP="0038245E">
      <w:r w:rsidRPr="0038245E">
        <w:rPr>
          <w:u w:val="single"/>
        </w:rPr>
        <w:t>All patients</w:t>
      </w:r>
      <w:r>
        <w:t xml:space="preserve"> must be charged the same amount for services, though what the RHC collects can vary based on policies such as cash and same day payment discounts, sliding fee schedule, etc.</w:t>
      </w:r>
    </w:p>
    <w:p w:rsidR="0038245E" w:rsidRDefault="0038245E"/>
    <w:p w:rsidR="00220F6D" w:rsidRPr="00220F6D" w:rsidRDefault="00220F6D">
      <w:pPr>
        <w:rPr>
          <w:b/>
        </w:rPr>
      </w:pPr>
      <w:r w:rsidRPr="00220F6D">
        <w:rPr>
          <w:b/>
        </w:rPr>
        <w:t>Medicare Bad Debt</w:t>
      </w:r>
    </w:p>
    <w:p w:rsidR="00D24C05" w:rsidRDefault="00220F6D">
      <w:r w:rsidRPr="00220F6D">
        <w:t xml:space="preserve">Any co-insurance or deductible </w:t>
      </w:r>
      <w:r>
        <w:t xml:space="preserve">amount </w:t>
      </w:r>
      <w:r w:rsidRPr="00220F6D">
        <w:t xml:space="preserve">not paid by the </w:t>
      </w:r>
      <w:r w:rsidR="008B6C72">
        <w:t>beneficiary</w:t>
      </w:r>
      <w:r w:rsidRPr="00220F6D">
        <w:t>, supplemental</w:t>
      </w:r>
      <w:r w:rsidR="00D24C05">
        <w:t xml:space="preserve"> insurance</w:t>
      </w:r>
      <w:r>
        <w:t>,</w:t>
      </w:r>
      <w:r w:rsidRPr="00220F6D">
        <w:t xml:space="preserve"> or Medicaid is considered Medicare bad debt and can be claimed on the cost report for </w:t>
      </w:r>
      <w:r>
        <w:t>reimbursement</w:t>
      </w:r>
      <w:r w:rsidR="00D24C05">
        <w:t>, assuming the required collection efforts are performed.</w:t>
      </w:r>
      <w:r w:rsidR="00642D99">
        <w:t xml:space="preserve">  Bad debt is re</w:t>
      </w:r>
      <w:r w:rsidR="00AC1BF3">
        <w:t>imbursed in addition to the AIR</w:t>
      </w:r>
      <w:r w:rsidR="00642D99">
        <w:t xml:space="preserve"> and is not subject to the payment cap, if relevant.  However, a</w:t>
      </w:r>
      <w:r w:rsidR="00D24C05">
        <w:t>ll patients must be treated the same, regardless of payer.  Collections must include genuine efforts, including multiple letters</w:t>
      </w:r>
      <w:r w:rsidR="00642D99">
        <w:t>,</w:t>
      </w:r>
      <w:r w:rsidR="00D24C05">
        <w:t xml:space="preserve"> and bad debt </w:t>
      </w:r>
      <w:r w:rsidR="00AC1BF3">
        <w:t xml:space="preserve">generally </w:t>
      </w:r>
      <w:r w:rsidR="00D24C05">
        <w:t>cannot be written off less than 120 days followin</w:t>
      </w:r>
      <w:r w:rsidR="00642D99">
        <w:t>g a visit or payment on account.  If the beneficiary is a dual-eligible, the debt can be written off immediately.</w:t>
      </w:r>
      <w:r w:rsidR="003B3FAA">
        <w:t xml:space="preserve">  </w:t>
      </w:r>
      <w:r w:rsidR="003B3FAA" w:rsidRPr="000C5D80">
        <w:rPr>
          <w:u w:val="single"/>
        </w:rPr>
        <w:t xml:space="preserve">As a result of the Middle Class Tax Relief and Job Creation Act of 2012, the allowable bad debt claimed </w:t>
      </w:r>
      <w:r w:rsidR="000C5D80" w:rsidRPr="000C5D80">
        <w:rPr>
          <w:u w:val="single"/>
        </w:rPr>
        <w:t>by RHCs will decrease over three years to 65%</w:t>
      </w:r>
      <w:r w:rsidR="000C5D80" w:rsidRPr="007E7D6B">
        <w:t>.</w:t>
      </w:r>
    </w:p>
    <w:p w:rsidR="006F0AC9" w:rsidRPr="006F0AC9" w:rsidRDefault="006F0AC9">
      <w:pPr>
        <w:rPr>
          <w:b/>
        </w:rPr>
      </w:pPr>
      <w:r w:rsidRPr="006F0AC9">
        <w:rPr>
          <w:b/>
        </w:rPr>
        <w:lastRenderedPageBreak/>
        <w:t>Physician Supervision</w:t>
      </w:r>
      <w:r>
        <w:rPr>
          <w:b/>
        </w:rPr>
        <w:t xml:space="preserve"> of PAs/NPs</w:t>
      </w:r>
    </w:p>
    <w:p w:rsidR="00106BCA" w:rsidRDefault="00C46186" w:rsidP="00106BCA">
      <w:r>
        <w:t>E</w:t>
      </w:r>
      <w:r w:rsidR="006F0AC9" w:rsidRPr="006F0AC9">
        <w:t xml:space="preserve">very RHC </w:t>
      </w:r>
      <w:r w:rsidR="000A040F">
        <w:t xml:space="preserve">must be </w:t>
      </w:r>
      <w:r w:rsidR="00537C60">
        <w:t>“</w:t>
      </w:r>
      <w:r w:rsidR="000A040F">
        <w:t xml:space="preserve">under the medical direction of </w:t>
      </w:r>
      <w:r w:rsidR="006F0AC9" w:rsidRPr="006F0AC9">
        <w:t>a physician,</w:t>
      </w:r>
      <w:r w:rsidR="00537C60">
        <w:t>” [42 CFR 491.7(a)(1)]</w:t>
      </w:r>
      <w:r w:rsidR="006F0AC9" w:rsidRPr="006F0AC9">
        <w:t xml:space="preserve"> </w:t>
      </w:r>
      <w:r>
        <w:t xml:space="preserve">but </w:t>
      </w:r>
      <w:r w:rsidR="006F0AC9" w:rsidRPr="006F0AC9">
        <w:t xml:space="preserve">the </w:t>
      </w:r>
      <w:r w:rsidR="003E3DD3">
        <w:t xml:space="preserve">physician’s </w:t>
      </w:r>
      <w:r w:rsidR="006F0AC9" w:rsidRPr="006F0AC9">
        <w:t xml:space="preserve">level of direct patient care </w:t>
      </w:r>
      <w:r w:rsidR="006F0AC9">
        <w:t xml:space="preserve">may </w:t>
      </w:r>
      <w:r w:rsidR="006F0AC9" w:rsidRPr="006F0AC9">
        <w:t xml:space="preserve">be very limited. </w:t>
      </w:r>
      <w:r w:rsidR="006F0AC9">
        <w:t xml:space="preserve"> </w:t>
      </w:r>
      <w:r w:rsidR="003E3DD3">
        <w:t xml:space="preserve">CMS has not established a </w:t>
      </w:r>
      <w:r w:rsidR="006F0AC9" w:rsidRPr="006F0AC9">
        <w:t xml:space="preserve">minimum </w:t>
      </w:r>
      <w:r w:rsidR="003E3DD3">
        <w:t xml:space="preserve">amount of </w:t>
      </w:r>
      <w:r w:rsidR="006F0AC9" w:rsidRPr="006F0AC9">
        <w:t>time for physician on-site availability.</w:t>
      </w:r>
      <w:r w:rsidR="003E3DD3">
        <w:t xml:space="preserve">  </w:t>
      </w:r>
      <w:r w:rsidR="00106BCA" w:rsidRPr="00106BCA">
        <w:t xml:space="preserve">The arrangement must </w:t>
      </w:r>
      <w:r w:rsidR="00642D99">
        <w:t xml:space="preserve">comply </w:t>
      </w:r>
      <w:r w:rsidR="00106BCA" w:rsidRPr="00106BCA">
        <w:t xml:space="preserve">with </w:t>
      </w:r>
      <w:r w:rsidR="00106BCA">
        <w:t>s</w:t>
      </w:r>
      <w:r w:rsidR="00106BCA" w:rsidRPr="00106BCA">
        <w:t xml:space="preserve">tate law </w:t>
      </w:r>
      <w:r w:rsidR="003E3DD3">
        <w:t xml:space="preserve">(scope of practice) </w:t>
      </w:r>
      <w:r w:rsidR="00106BCA" w:rsidRPr="00106BCA">
        <w:t xml:space="preserve">and provide for at least one onsite visit by the physician every </w:t>
      </w:r>
      <w:r w:rsidR="00106BCA">
        <w:t xml:space="preserve">two </w:t>
      </w:r>
      <w:r w:rsidR="00106BCA" w:rsidRPr="00106BCA">
        <w:t>weeks</w:t>
      </w:r>
      <w:r w:rsidR="00F936E8">
        <w:t>*</w:t>
      </w:r>
      <w:r w:rsidR="00106BCA" w:rsidRPr="00106BCA">
        <w:t xml:space="preserve"> (except in extraordinary circumstances).  The physician must be a</w:t>
      </w:r>
      <w:r w:rsidR="00012FB5">
        <w:t>n MD or DO</w:t>
      </w:r>
      <w:r w:rsidR="00106BCA" w:rsidRPr="00106BCA">
        <w:t>.</w:t>
      </w:r>
    </w:p>
    <w:p w:rsidR="00CE362A" w:rsidRDefault="00CE362A" w:rsidP="00106BCA"/>
    <w:p w:rsidR="00F936E8" w:rsidRDefault="00F936E8" w:rsidP="00106BCA">
      <w:pPr>
        <w:rPr>
          <w:i/>
        </w:rPr>
      </w:pPr>
      <w:r w:rsidRPr="00F936E8">
        <w:rPr>
          <w:i/>
        </w:rPr>
        <w:t>*CMS issued a NPRM on 02/04/13 proposing to eliminate the two week requirement.</w:t>
      </w:r>
    </w:p>
    <w:p w:rsidR="00F936E8" w:rsidRPr="00106BCA" w:rsidRDefault="00F936E8" w:rsidP="00106BCA"/>
    <w:p w:rsidR="00C25085" w:rsidRPr="00B06978" w:rsidRDefault="00C25085">
      <w:pPr>
        <w:rPr>
          <w:sz w:val="18"/>
          <w:szCs w:val="18"/>
        </w:rPr>
      </w:pPr>
      <w:r w:rsidRPr="00B06978">
        <w:rPr>
          <w:sz w:val="18"/>
          <w:szCs w:val="18"/>
          <w:u w:val="single"/>
        </w:rPr>
        <w:t>RHC Interpretive Guidelines</w:t>
      </w:r>
    </w:p>
    <w:p w:rsidR="00C25085" w:rsidRPr="00B06978" w:rsidRDefault="00C25085" w:rsidP="00C25085">
      <w:pPr>
        <w:rPr>
          <w:sz w:val="18"/>
          <w:szCs w:val="18"/>
        </w:rPr>
      </w:pPr>
      <w:r w:rsidRPr="00B06978">
        <w:rPr>
          <w:i/>
          <w:sz w:val="18"/>
          <w:szCs w:val="18"/>
        </w:rPr>
        <w:t>Physician Responsibilities.</w:t>
      </w:r>
      <w:r w:rsidRPr="00B06978">
        <w:rPr>
          <w:sz w:val="18"/>
          <w:szCs w:val="18"/>
        </w:rPr>
        <w:t>--Ascertain through written documentation, such as dates and signatures, that the physician staff member satisfactorily meets the requirement of periodically reviewing the clinic's patient records, provides medical orders, and provides medical care services to the patients.</w:t>
      </w:r>
    </w:p>
    <w:p w:rsidR="00C25085" w:rsidRPr="00B06978" w:rsidRDefault="00C25085" w:rsidP="00C25085">
      <w:pPr>
        <w:rPr>
          <w:sz w:val="18"/>
          <w:szCs w:val="18"/>
          <w:u w:val="single"/>
        </w:rPr>
      </w:pPr>
    </w:p>
    <w:p w:rsidR="00C25085" w:rsidRPr="00B06978" w:rsidRDefault="00C25085" w:rsidP="00C25085">
      <w:pPr>
        <w:rPr>
          <w:sz w:val="18"/>
          <w:szCs w:val="18"/>
        </w:rPr>
      </w:pPr>
      <w:r w:rsidRPr="00B06978">
        <w:rPr>
          <w:sz w:val="18"/>
          <w:szCs w:val="18"/>
        </w:rPr>
        <w:t>A physician is required to be present in the clinic for sufficient periods of time to perform the duties and responsibilities described in 42 CFR 491.8(b</w:t>
      </w:r>
      <w:proofErr w:type="gramStart"/>
      <w:r w:rsidRPr="00B06978">
        <w:rPr>
          <w:sz w:val="18"/>
          <w:szCs w:val="18"/>
        </w:rPr>
        <w:t>)(</w:t>
      </w:r>
      <w:proofErr w:type="spellStart"/>
      <w:proofErr w:type="gramEnd"/>
      <w:r w:rsidRPr="00B06978">
        <w:rPr>
          <w:sz w:val="18"/>
          <w:szCs w:val="18"/>
        </w:rPr>
        <w:t>i</w:t>
      </w:r>
      <w:proofErr w:type="spellEnd"/>
      <w:r w:rsidRPr="00B06978">
        <w:rPr>
          <w:sz w:val="18"/>
          <w:szCs w:val="18"/>
        </w:rPr>
        <w:t>), (ii), and (iii). The term "sufficient periods of time" requires relative evaluations. There are a number of elements to consider in weighing what would constitute a reasonable time sufficient to discharge the physician</w:t>
      </w:r>
      <w:r w:rsidR="003E3DD3" w:rsidRPr="00B06978">
        <w:rPr>
          <w:sz w:val="18"/>
          <w:szCs w:val="18"/>
        </w:rPr>
        <w:t>’s</w:t>
      </w:r>
      <w:r w:rsidRPr="00B06978">
        <w:rPr>
          <w:sz w:val="18"/>
          <w:szCs w:val="18"/>
        </w:rPr>
        <w:t xml:space="preserve"> responsibilities. These elements include: patient case load and mix (type), number of patient care records which must be reviewed in order to establish a good overview for adherence to policies and principles of quality patient care, number of patient care records which require review and discussion of specific health problems and regimens of therapy; need for consultative time with other members of the clinic's staff; need for revision to the clinic's patient care guidelines; and need for time to provide medical care to patients.</w:t>
      </w:r>
    </w:p>
    <w:p w:rsidR="00C25085" w:rsidRPr="00B06978" w:rsidRDefault="00C25085" w:rsidP="00C25085">
      <w:pPr>
        <w:rPr>
          <w:sz w:val="18"/>
          <w:szCs w:val="18"/>
        </w:rPr>
      </w:pPr>
    </w:p>
    <w:p w:rsidR="00C25085" w:rsidRPr="00C25085" w:rsidRDefault="00C25085" w:rsidP="00C25085">
      <w:r w:rsidRPr="00B06978">
        <w:rPr>
          <w:sz w:val="18"/>
          <w:szCs w:val="18"/>
        </w:rPr>
        <w:t xml:space="preserve">Time required to accomplish these activities will fluctuate. Thus, the "sufficient time" the physician must spend in the clinic will vary. The survey should verify the time spent in the clinic by the physician for consulting records, etc. Extraordinary circumstances which constitute exceptions to the requirement that the physician be present in the clinic at least once every </w:t>
      </w:r>
      <w:r w:rsidR="00E1202E" w:rsidRPr="00B06978">
        <w:rPr>
          <w:sz w:val="18"/>
          <w:szCs w:val="18"/>
        </w:rPr>
        <w:t>two</w:t>
      </w:r>
      <w:r w:rsidRPr="00B06978">
        <w:rPr>
          <w:sz w:val="18"/>
          <w:szCs w:val="18"/>
        </w:rPr>
        <w:t xml:space="preserve"> weeks for "sufficient time</w:t>
      </w:r>
      <w:r w:rsidR="007A288D" w:rsidRPr="00B06978">
        <w:rPr>
          <w:sz w:val="18"/>
          <w:szCs w:val="18"/>
        </w:rPr>
        <w:t>”</w:t>
      </w:r>
      <w:r w:rsidRPr="00B06978">
        <w:rPr>
          <w:sz w:val="18"/>
          <w:szCs w:val="18"/>
        </w:rPr>
        <w:t xml:space="preserve"> to discharge the physician's responsibilities are primarily nonrecurring circumstances beyond the control of the physician and which postpone (not cancel) the visit. These circumstances include illness, extreme weather or driving conditions of short duration, or those emergencies which occur in the physician's practice and require his presence elsewhere. When nonrecurring circumstances cause postponement of the physician's visit, they should be documented in the clinic's records.</w:t>
      </w:r>
    </w:p>
    <w:p w:rsidR="00F936E8" w:rsidRDefault="00F936E8"/>
    <w:p w:rsidR="00294008" w:rsidRPr="00E64543" w:rsidRDefault="006F0AC9">
      <w:pPr>
        <w:rPr>
          <w:b/>
        </w:rPr>
      </w:pPr>
      <w:r>
        <w:rPr>
          <w:b/>
        </w:rPr>
        <w:t>PQRS</w:t>
      </w:r>
      <w:r w:rsidR="000C5F3A">
        <w:rPr>
          <w:b/>
        </w:rPr>
        <w:t xml:space="preserve"> and </w:t>
      </w:r>
      <w:proofErr w:type="spellStart"/>
      <w:r w:rsidR="000C5F3A">
        <w:rPr>
          <w:b/>
        </w:rPr>
        <w:t>eRx</w:t>
      </w:r>
      <w:proofErr w:type="spellEnd"/>
      <w:r w:rsidR="000C5F3A">
        <w:rPr>
          <w:b/>
        </w:rPr>
        <w:t xml:space="preserve"> Incentives</w:t>
      </w:r>
    </w:p>
    <w:p w:rsidR="000C5D80" w:rsidRPr="00E64543" w:rsidRDefault="00E64543" w:rsidP="000C5D80">
      <w:r w:rsidRPr="00E64543">
        <w:t>RHC</w:t>
      </w:r>
      <w:r w:rsidR="001312A0">
        <w:t xml:space="preserve"> </w:t>
      </w:r>
      <w:r w:rsidR="000C5F3A">
        <w:t xml:space="preserve">claims are </w:t>
      </w:r>
      <w:r w:rsidRPr="00E64543">
        <w:t xml:space="preserve">not </w:t>
      </w:r>
      <w:r w:rsidR="007A288D">
        <w:t>fee schedule</w:t>
      </w:r>
      <w:r w:rsidRPr="00E64543">
        <w:t xml:space="preserve"> claims, </w:t>
      </w:r>
      <w:r w:rsidR="000C5F3A">
        <w:t xml:space="preserve">so </w:t>
      </w:r>
      <w:r w:rsidRPr="00E64543">
        <w:t>they are ineligible</w:t>
      </w:r>
      <w:r w:rsidR="00AD1559">
        <w:t xml:space="preserve"> for PQRS </w:t>
      </w:r>
      <w:r w:rsidR="000C5F3A">
        <w:t xml:space="preserve">and </w:t>
      </w:r>
      <w:r w:rsidR="000C5D80">
        <w:t>e-prescribing (</w:t>
      </w:r>
      <w:r w:rsidR="000C5F3A">
        <w:t>e-Rx</w:t>
      </w:r>
      <w:r w:rsidR="000C5D80">
        <w:t>)</w:t>
      </w:r>
      <w:r w:rsidR="000C5F3A">
        <w:t xml:space="preserve"> </w:t>
      </w:r>
      <w:r w:rsidR="00AD1559">
        <w:t>incentives</w:t>
      </w:r>
      <w:r w:rsidR="000C5F3A">
        <w:t xml:space="preserve"> and are not subject to payment adjustments (penalties)</w:t>
      </w:r>
      <w:r w:rsidRPr="00E64543">
        <w:t xml:space="preserve">.  </w:t>
      </w:r>
      <w:r w:rsidR="000C5F3A">
        <w:t xml:space="preserve">However, if RHC clinicians submit </w:t>
      </w:r>
      <w:r w:rsidR="000C5D80">
        <w:t xml:space="preserve">Part B </w:t>
      </w:r>
      <w:r w:rsidR="000C5F3A">
        <w:t>claims for non-RHC services</w:t>
      </w:r>
      <w:r w:rsidR="0010008D">
        <w:t xml:space="preserve"> that include certain CPT codes,</w:t>
      </w:r>
      <w:r w:rsidR="00827D93">
        <w:t xml:space="preserve"> </w:t>
      </w:r>
      <w:r w:rsidR="000C5F3A">
        <w:t xml:space="preserve">they </w:t>
      </w:r>
      <w:r w:rsidR="00827D93">
        <w:t>c</w:t>
      </w:r>
      <w:r w:rsidR="000C5F3A">
        <w:t>ould be subject to the penalties</w:t>
      </w:r>
      <w:r w:rsidR="0010008D">
        <w:t>.</w:t>
      </w:r>
      <w:r w:rsidR="00F123A7">
        <w:t xml:space="preserve"> </w:t>
      </w:r>
      <w:r w:rsidR="0010008D">
        <w:t xml:space="preserve"> The codes are primarily ambulatory E&amp;M codes; </w:t>
      </w:r>
      <w:r w:rsidR="00F123A7">
        <w:t xml:space="preserve">hospital service </w:t>
      </w:r>
      <w:r w:rsidR="0010008D">
        <w:t>codes are not included</w:t>
      </w:r>
      <w:r w:rsidR="000C5F3A">
        <w:t>.</w:t>
      </w:r>
      <w:r w:rsidR="0010008D">
        <w:t xml:space="preserve">  </w:t>
      </w:r>
      <w:r w:rsidR="000C5D80">
        <w:t xml:space="preserve">RHC clinicians may be eligible to apply for an </w:t>
      </w:r>
      <w:hyperlink r:id="rId27" w:history="1">
        <w:proofErr w:type="spellStart"/>
        <w:r w:rsidR="000C5D80" w:rsidRPr="0010008D">
          <w:rPr>
            <w:rStyle w:val="Hyperlink"/>
          </w:rPr>
          <w:t>eRx</w:t>
        </w:r>
        <w:proofErr w:type="spellEnd"/>
        <w:r w:rsidR="000C5D80" w:rsidRPr="0010008D">
          <w:rPr>
            <w:rStyle w:val="Hyperlink"/>
          </w:rPr>
          <w:t xml:space="preserve"> significant hardship exemption</w:t>
        </w:r>
      </w:hyperlink>
      <w:r w:rsidR="000C5D80">
        <w:t>.</w:t>
      </w:r>
    </w:p>
    <w:p w:rsidR="000C5D80" w:rsidRDefault="000C5D80"/>
    <w:p w:rsidR="00F123A7" w:rsidRPr="00E250DA" w:rsidRDefault="00F123A7" w:rsidP="00F123A7">
      <w:pPr>
        <w:rPr>
          <w:i/>
          <w:sz w:val="20"/>
          <w:szCs w:val="20"/>
        </w:rPr>
      </w:pPr>
      <w:r w:rsidRPr="00E250DA">
        <w:rPr>
          <w:i/>
          <w:sz w:val="20"/>
          <w:szCs w:val="20"/>
        </w:rPr>
        <w:t>Note:  When PQRS (then PQRI) was established, the incentive payment was adopted in lieu of an inflationary adjustment for Part B services.  RHCs, by comparison, received an inflationary increase that year that was higher than the amount of the incentive payment.</w:t>
      </w:r>
    </w:p>
    <w:p w:rsidR="00F123A7" w:rsidRDefault="00F123A7"/>
    <w:p w:rsidR="00ED021A" w:rsidRPr="00ED021A" w:rsidRDefault="00ED021A">
      <w:pPr>
        <w:rPr>
          <w:b/>
        </w:rPr>
      </w:pPr>
      <w:r w:rsidRPr="00ED021A">
        <w:rPr>
          <w:b/>
        </w:rPr>
        <w:t>EHR Meaningful Use Incentives</w:t>
      </w:r>
    </w:p>
    <w:p w:rsidR="006F0AC9" w:rsidRDefault="006F0AC9" w:rsidP="00571D3A">
      <w:r w:rsidRPr="00E64543">
        <w:t>Because RHC</w:t>
      </w:r>
      <w:r w:rsidR="001312A0">
        <w:t xml:space="preserve"> </w:t>
      </w:r>
      <w:r w:rsidR="0016364E">
        <w:t>phys</w:t>
      </w:r>
      <w:r w:rsidR="001312A0">
        <w:t>ician</w:t>
      </w:r>
      <w:r w:rsidRPr="00E64543">
        <w:t xml:space="preserve">s do not submit Part B </w:t>
      </w:r>
      <w:r w:rsidR="00F84A3E">
        <w:t xml:space="preserve">fee schedule </w:t>
      </w:r>
      <w:r w:rsidRPr="00E64543">
        <w:t xml:space="preserve">claims, they are </w:t>
      </w:r>
      <w:r w:rsidR="001312A0">
        <w:t xml:space="preserve">generally </w:t>
      </w:r>
      <w:r w:rsidRPr="00E64543">
        <w:t>ineligible</w:t>
      </w:r>
      <w:r>
        <w:t xml:space="preserve"> for </w:t>
      </w:r>
      <w:hyperlink r:id="rId28" w:history="1">
        <w:r w:rsidRPr="0010008D">
          <w:rPr>
            <w:rStyle w:val="Hyperlink"/>
            <w:b/>
          </w:rPr>
          <w:t>Medicare</w:t>
        </w:r>
        <w:r w:rsidRPr="0010008D">
          <w:rPr>
            <w:rStyle w:val="Hyperlink"/>
          </w:rPr>
          <w:t xml:space="preserve"> EHR incentive </w:t>
        </w:r>
        <w:r w:rsidR="0010008D" w:rsidRPr="0010008D">
          <w:rPr>
            <w:rStyle w:val="Hyperlink"/>
          </w:rPr>
          <w:t>program</w:t>
        </w:r>
      </w:hyperlink>
      <w:r w:rsidR="0010008D">
        <w:t xml:space="preserve"> </w:t>
      </w:r>
      <w:r>
        <w:t>payments</w:t>
      </w:r>
      <w:r w:rsidR="00F84A3E">
        <w:t xml:space="preserve"> and not subject to payment adjustments (penalties)</w:t>
      </w:r>
      <w:r w:rsidRPr="00E64543">
        <w:t>.</w:t>
      </w:r>
      <w:r>
        <w:t xml:space="preserve">  </w:t>
      </w:r>
      <w:r w:rsidR="00F84A3E">
        <w:t>However, p</w:t>
      </w:r>
      <w:r w:rsidR="00B35FE2">
        <w:t xml:space="preserve">hysicians </w:t>
      </w:r>
      <w:r>
        <w:t>working in RHCs may qualify, if they have sufficient fee schedule billing outside the RHC setting.</w:t>
      </w:r>
    </w:p>
    <w:p w:rsidR="006F0AC9" w:rsidRDefault="006F0AC9" w:rsidP="00506B1B"/>
    <w:p w:rsidR="0016364E" w:rsidRPr="00ED021A" w:rsidRDefault="0016364E" w:rsidP="0016364E">
      <w:r w:rsidRPr="007A38B9">
        <w:t xml:space="preserve">Eligible professionals </w:t>
      </w:r>
      <w:r>
        <w:t xml:space="preserve">(EPs) </w:t>
      </w:r>
      <w:r w:rsidR="00506B1B" w:rsidRPr="00506B1B">
        <w:t xml:space="preserve">working in </w:t>
      </w:r>
      <w:r w:rsidR="00506B1B">
        <w:t>an RHC</w:t>
      </w:r>
      <w:r w:rsidR="00506B1B" w:rsidRPr="00506B1B">
        <w:t xml:space="preserve"> are eligible for </w:t>
      </w:r>
      <w:hyperlink r:id="rId29" w:history="1">
        <w:r w:rsidR="00506B1B" w:rsidRPr="0010008D">
          <w:rPr>
            <w:rStyle w:val="Hyperlink"/>
            <w:b/>
          </w:rPr>
          <w:t>Medicaid</w:t>
        </w:r>
        <w:r w:rsidR="00506B1B" w:rsidRPr="0010008D">
          <w:rPr>
            <w:rStyle w:val="Hyperlink"/>
          </w:rPr>
          <w:t xml:space="preserve"> EHR incentive </w:t>
        </w:r>
        <w:r w:rsidR="0010008D" w:rsidRPr="0010008D">
          <w:rPr>
            <w:rStyle w:val="Hyperlink"/>
          </w:rPr>
          <w:t>program</w:t>
        </w:r>
      </w:hyperlink>
      <w:r w:rsidR="0010008D">
        <w:t xml:space="preserve"> </w:t>
      </w:r>
      <w:r w:rsidR="00506B1B">
        <w:t xml:space="preserve">payments </w:t>
      </w:r>
      <w:r w:rsidR="00084399">
        <w:t xml:space="preserve">up to $63,750 over </w:t>
      </w:r>
      <w:r w:rsidR="00506B1B" w:rsidRPr="00506B1B">
        <w:t>6 years</w:t>
      </w:r>
      <w:r w:rsidR="00A7733E">
        <w:t xml:space="preserve"> if they meet the needy patient threshold requirement</w:t>
      </w:r>
      <w:r w:rsidR="00506B1B" w:rsidRPr="00506B1B">
        <w:t>.</w:t>
      </w:r>
      <w:r w:rsidR="00506B1B">
        <w:t xml:space="preserve">  </w:t>
      </w:r>
      <w:r w:rsidR="008004A9">
        <w:t xml:space="preserve">RHC </w:t>
      </w:r>
      <w:r w:rsidR="00F84A3E">
        <w:t>EPs</w:t>
      </w:r>
      <w:r w:rsidR="00506B1B" w:rsidRPr="00506B1B">
        <w:t xml:space="preserve"> </w:t>
      </w:r>
      <w:r w:rsidR="008004A9">
        <w:t xml:space="preserve">include </w:t>
      </w:r>
      <w:r w:rsidR="00506B1B" w:rsidRPr="00506B1B">
        <w:t>physician</w:t>
      </w:r>
      <w:r w:rsidR="00A7733E">
        <w:t>s</w:t>
      </w:r>
      <w:r w:rsidR="00506B1B" w:rsidRPr="00506B1B">
        <w:t xml:space="preserve">, </w:t>
      </w:r>
      <w:r w:rsidR="00506B1B">
        <w:t>NP</w:t>
      </w:r>
      <w:r w:rsidR="00A7733E">
        <w:t>s</w:t>
      </w:r>
      <w:r w:rsidR="00506B1B">
        <w:t xml:space="preserve">, </w:t>
      </w:r>
      <w:r w:rsidR="00A7733E">
        <w:t xml:space="preserve">and </w:t>
      </w:r>
      <w:r w:rsidR="00506B1B">
        <w:t>CNM</w:t>
      </w:r>
      <w:r w:rsidR="00A7733E">
        <w:t xml:space="preserve">s; </w:t>
      </w:r>
      <w:r w:rsidR="008004A9" w:rsidRPr="00506B1B">
        <w:t>PA</w:t>
      </w:r>
      <w:r w:rsidR="00A7733E">
        <w:t>s</w:t>
      </w:r>
      <w:r w:rsidR="008004A9" w:rsidRPr="00506B1B">
        <w:t xml:space="preserve"> </w:t>
      </w:r>
      <w:r w:rsidR="00A7733E">
        <w:t xml:space="preserve">are also eligible </w:t>
      </w:r>
      <w:r w:rsidR="008004A9" w:rsidRPr="00506B1B">
        <w:t xml:space="preserve">if </w:t>
      </w:r>
      <w:r w:rsidR="00A7733E">
        <w:t xml:space="preserve">their RHC is </w:t>
      </w:r>
      <w:r w:rsidR="008004A9">
        <w:t>PA-led</w:t>
      </w:r>
      <w:r w:rsidR="00A7733E">
        <w:t xml:space="preserve"> (i.e., if </w:t>
      </w:r>
      <w:r w:rsidR="00712364">
        <w:t>the PA</w:t>
      </w:r>
      <w:r w:rsidR="00A7733E">
        <w:t xml:space="preserve"> </w:t>
      </w:r>
      <w:r w:rsidR="00712364" w:rsidRPr="00ED2DB8">
        <w:t xml:space="preserve">is </w:t>
      </w:r>
      <w:r w:rsidR="00A7733E">
        <w:t xml:space="preserve">an owner, the </w:t>
      </w:r>
      <w:r w:rsidR="00A7733E" w:rsidRPr="00ED2DB8">
        <w:t>clinical or medical director</w:t>
      </w:r>
      <w:r w:rsidR="00A7733E">
        <w:t xml:space="preserve">, or </w:t>
      </w:r>
      <w:r w:rsidR="00712364" w:rsidRPr="00ED2DB8">
        <w:t xml:space="preserve">the primary provider </w:t>
      </w:r>
      <w:r w:rsidR="00A7733E">
        <w:t xml:space="preserve">-- </w:t>
      </w:r>
      <w:r w:rsidR="00712364">
        <w:t>e.g.</w:t>
      </w:r>
      <w:r w:rsidR="00712364" w:rsidRPr="00ED2DB8">
        <w:t>, part-time physician and full-time PA</w:t>
      </w:r>
      <w:r w:rsidR="00A7733E">
        <w:t>)</w:t>
      </w:r>
      <w:r w:rsidR="00712364" w:rsidRPr="00ED2DB8">
        <w:t>.</w:t>
      </w:r>
      <w:r w:rsidR="001D5498">
        <w:t xml:space="preserve">  </w:t>
      </w:r>
      <w:r w:rsidRPr="00506B1B">
        <w:t xml:space="preserve">During the </w:t>
      </w:r>
      <w:r>
        <w:t>first</w:t>
      </w:r>
      <w:r w:rsidRPr="00506B1B">
        <w:t xml:space="preserve"> year, </w:t>
      </w:r>
      <w:r>
        <w:t>EPs</w:t>
      </w:r>
      <w:r w:rsidRPr="00506B1B">
        <w:t xml:space="preserve"> can get payments for "adoption, implementation or upgrading" of a </w:t>
      </w:r>
      <w:r>
        <w:t xml:space="preserve">certified </w:t>
      </w:r>
      <w:r w:rsidRPr="00506B1B">
        <w:t>EHR.  For years 2-6, the</w:t>
      </w:r>
      <w:r>
        <w:t>y</w:t>
      </w:r>
      <w:r w:rsidRPr="00506B1B">
        <w:t xml:space="preserve"> </w:t>
      </w:r>
      <w:r w:rsidRPr="007B48DF">
        <w:rPr>
          <w:u w:val="single"/>
        </w:rPr>
        <w:t>must</w:t>
      </w:r>
      <w:r w:rsidRPr="00506B1B">
        <w:t xml:space="preserve"> meet the applica</w:t>
      </w:r>
      <w:r w:rsidR="00A7733E">
        <w:t xml:space="preserve">ble </w:t>
      </w:r>
      <w:r>
        <w:t>meaningful use criteria.</w:t>
      </w:r>
    </w:p>
    <w:p w:rsidR="0016364E" w:rsidRDefault="0016364E" w:rsidP="00A5611C"/>
    <w:p w:rsidR="00245A61" w:rsidRPr="00245A61" w:rsidRDefault="00A7733E" w:rsidP="00245A61">
      <w:r>
        <w:t>To meet the needy patient threshold, d</w:t>
      </w:r>
      <w:r w:rsidR="00712364">
        <w:t xml:space="preserve">uring </w:t>
      </w:r>
      <w:r w:rsidR="00712364" w:rsidRPr="00ED2DB8">
        <w:t>any continuous 90-day period within the calendar year prior to reporting</w:t>
      </w:r>
      <w:r w:rsidR="00712364">
        <w:t>,</w:t>
      </w:r>
      <w:r w:rsidR="00712364" w:rsidRPr="00506B1B">
        <w:t xml:space="preserve"> </w:t>
      </w:r>
      <w:r w:rsidR="00712364">
        <w:t>e</w:t>
      </w:r>
      <w:r w:rsidR="00506B1B" w:rsidRPr="00506B1B">
        <w:t xml:space="preserve">ither 30% of the </w:t>
      </w:r>
      <w:r w:rsidR="008004A9" w:rsidRPr="00506B1B">
        <w:t xml:space="preserve">aggregate </w:t>
      </w:r>
      <w:r w:rsidR="00084399">
        <w:t>RHC</w:t>
      </w:r>
      <w:r w:rsidR="00506B1B" w:rsidRPr="00506B1B">
        <w:t xml:space="preserve"> visits</w:t>
      </w:r>
      <w:r w:rsidR="00712364">
        <w:t xml:space="preserve"> (encounters)</w:t>
      </w:r>
      <w:r w:rsidR="00506B1B" w:rsidRPr="00506B1B">
        <w:t xml:space="preserve"> </w:t>
      </w:r>
      <w:r w:rsidR="007B48DF">
        <w:rPr>
          <w:u w:val="single"/>
        </w:rPr>
        <w:t>or</w:t>
      </w:r>
      <w:r w:rsidR="00506B1B" w:rsidRPr="00506B1B">
        <w:t xml:space="preserve"> 30% of the </w:t>
      </w:r>
      <w:r w:rsidR="00084399">
        <w:t xml:space="preserve">EP’s </w:t>
      </w:r>
      <w:r w:rsidR="00820104">
        <w:t xml:space="preserve">visits </w:t>
      </w:r>
      <w:r w:rsidR="007B48DF" w:rsidRPr="00A7733E">
        <w:t>must</w:t>
      </w:r>
      <w:r w:rsidR="00820104">
        <w:t xml:space="preserve"> be with </w:t>
      </w:r>
      <w:r w:rsidR="00506B1B">
        <w:t>n</w:t>
      </w:r>
      <w:r w:rsidR="00506B1B" w:rsidRPr="00506B1B">
        <w:t>eedy patients.  A needy patient</w:t>
      </w:r>
      <w:r w:rsidR="00506B1B">
        <w:t xml:space="preserve"> is one </w:t>
      </w:r>
      <w:r w:rsidR="00820104">
        <w:t xml:space="preserve">who is </w:t>
      </w:r>
      <w:r w:rsidR="00506B1B" w:rsidRPr="00506B1B">
        <w:t>covered by Medicaid (incl</w:t>
      </w:r>
      <w:r w:rsidR="00506B1B">
        <w:t>.</w:t>
      </w:r>
      <w:r w:rsidR="00506B1B" w:rsidRPr="00506B1B">
        <w:t xml:space="preserve"> dual </w:t>
      </w:r>
      <w:proofErr w:type="spellStart"/>
      <w:r w:rsidR="00506B1B" w:rsidRPr="00506B1B">
        <w:t>eligibles</w:t>
      </w:r>
      <w:proofErr w:type="spellEnd"/>
      <w:r w:rsidR="00506B1B" w:rsidRPr="00506B1B">
        <w:t>)</w:t>
      </w:r>
      <w:r w:rsidR="00506B1B">
        <w:t xml:space="preserve"> or </w:t>
      </w:r>
      <w:r w:rsidR="00506B1B" w:rsidRPr="00506B1B">
        <w:t>CHIP</w:t>
      </w:r>
      <w:r w:rsidR="00506B1B">
        <w:t>,</w:t>
      </w:r>
      <w:r w:rsidR="00506B1B" w:rsidRPr="00506B1B">
        <w:t xml:space="preserve"> </w:t>
      </w:r>
      <w:r w:rsidR="00820104">
        <w:t xml:space="preserve">or is furnished uncompensated care or care </w:t>
      </w:r>
      <w:r w:rsidR="00820104" w:rsidRPr="00820104">
        <w:t xml:space="preserve">at </w:t>
      </w:r>
      <w:r w:rsidR="00245A61">
        <w:t xml:space="preserve">reduced or </w:t>
      </w:r>
      <w:r w:rsidR="00820104" w:rsidRPr="00820104">
        <w:t>no cost based</w:t>
      </w:r>
      <w:r w:rsidR="00820104">
        <w:t xml:space="preserve"> </w:t>
      </w:r>
      <w:r w:rsidR="00820104" w:rsidRPr="00820104">
        <w:t xml:space="preserve">on a sliding </w:t>
      </w:r>
      <w:r w:rsidR="00820104">
        <w:t xml:space="preserve">fee </w:t>
      </w:r>
      <w:r w:rsidR="00820104" w:rsidRPr="00820104">
        <w:t>scale.</w:t>
      </w:r>
      <w:r w:rsidR="00820104">
        <w:t xml:space="preserve">  </w:t>
      </w:r>
      <w:r w:rsidR="00245A61">
        <w:t>[</w:t>
      </w:r>
      <w:r w:rsidR="0016364E">
        <w:t>RHCs</w:t>
      </w:r>
      <w:r w:rsidR="00245A61" w:rsidRPr="00245A61">
        <w:t xml:space="preserve"> may </w:t>
      </w:r>
      <w:r w:rsidR="0016364E">
        <w:t xml:space="preserve">need </w:t>
      </w:r>
      <w:r w:rsidR="00245A61" w:rsidRPr="00245A61">
        <w:t xml:space="preserve">to demonstrate </w:t>
      </w:r>
      <w:r w:rsidR="00775EF4">
        <w:t xml:space="preserve">the </w:t>
      </w:r>
      <w:r w:rsidR="00245A61" w:rsidRPr="00245A61">
        <w:t>appropriate</w:t>
      </w:r>
      <w:r w:rsidR="00775EF4">
        <w:t>ness of using</w:t>
      </w:r>
      <w:r w:rsidR="00775EF4" w:rsidRPr="00245A61">
        <w:t xml:space="preserve"> the </w:t>
      </w:r>
      <w:r w:rsidR="00775EF4">
        <w:t>aggregate clinic visits</w:t>
      </w:r>
      <w:r w:rsidR="00775EF4" w:rsidRPr="00245A61">
        <w:t xml:space="preserve"> method</w:t>
      </w:r>
      <w:r w:rsidR="00245A61" w:rsidRPr="00245A61">
        <w:t xml:space="preserve">.  </w:t>
      </w:r>
      <w:r w:rsidR="00245A61">
        <w:t>I</w:t>
      </w:r>
      <w:r w:rsidR="00245A61" w:rsidRPr="00245A61">
        <w:t xml:space="preserve">f an EP never sees </w:t>
      </w:r>
      <w:r w:rsidR="00775EF4">
        <w:t xml:space="preserve">needy </w:t>
      </w:r>
      <w:r w:rsidR="00245A61" w:rsidRPr="00245A61">
        <w:t>patients</w:t>
      </w:r>
      <w:r w:rsidR="00245A61">
        <w:t>,</w:t>
      </w:r>
      <w:r w:rsidR="00245A61" w:rsidRPr="00245A61">
        <w:t xml:space="preserve"> </w:t>
      </w:r>
      <w:r w:rsidR="00245A61">
        <w:t xml:space="preserve">CMS </w:t>
      </w:r>
      <w:r w:rsidR="00245A61" w:rsidRPr="00245A61">
        <w:t xml:space="preserve">could deny the EHR incentive payment for </w:t>
      </w:r>
      <w:r w:rsidR="00775EF4">
        <w:t>him/her</w:t>
      </w:r>
      <w:r w:rsidR="00245A61" w:rsidRPr="00245A61">
        <w:t>.</w:t>
      </w:r>
      <w:r w:rsidR="00245A61">
        <w:t>]</w:t>
      </w:r>
    </w:p>
    <w:p w:rsidR="00E83267" w:rsidRDefault="00E83267" w:rsidP="00ED021A"/>
    <w:p w:rsidR="00B06978" w:rsidRPr="00B06978" w:rsidRDefault="00B06978" w:rsidP="00B06978">
      <w:pPr>
        <w:rPr>
          <w:b/>
        </w:rPr>
      </w:pPr>
      <w:r w:rsidRPr="00B06978">
        <w:rPr>
          <w:b/>
        </w:rPr>
        <w:t>HIPAA</w:t>
      </w:r>
    </w:p>
    <w:p w:rsidR="00B06978" w:rsidRDefault="00B06978" w:rsidP="00B06978">
      <w:pPr>
        <w:pStyle w:val="PlainText"/>
        <w:rPr>
          <w:rStyle w:val="Hyperlink"/>
          <w:rFonts w:asciiTheme="minorHAnsi" w:hAnsiTheme="minorHAnsi" w:cstheme="minorHAnsi"/>
          <w:sz w:val="22"/>
          <w:szCs w:val="22"/>
        </w:rPr>
      </w:pPr>
      <w:r w:rsidRPr="00B06978">
        <w:rPr>
          <w:rFonts w:asciiTheme="minorHAnsi" w:hAnsiTheme="minorHAnsi" w:cstheme="minorHAnsi"/>
          <w:sz w:val="22"/>
          <w:szCs w:val="22"/>
        </w:rPr>
        <w:t xml:space="preserve">In January 2013, the </w:t>
      </w:r>
      <w:r>
        <w:rPr>
          <w:rFonts w:asciiTheme="minorHAnsi" w:hAnsiTheme="minorHAnsi" w:cstheme="minorHAnsi"/>
          <w:sz w:val="22"/>
          <w:szCs w:val="22"/>
        </w:rPr>
        <w:t xml:space="preserve">HHS </w:t>
      </w:r>
      <w:r w:rsidRPr="00B06978">
        <w:rPr>
          <w:rFonts w:asciiTheme="minorHAnsi" w:hAnsiTheme="minorHAnsi" w:cstheme="minorHAnsi"/>
          <w:sz w:val="22"/>
          <w:szCs w:val="22"/>
        </w:rPr>
        <w:t>issued revised HIPAA privacy standards.  Several changes were made to ensure privacy of Protected Health Information (PHI).</w:t>
      </w:r>
      <w:r>
        <w:rPr>
          <w:rFonts w:asciiTheme="minorHAnsi" w:hAnsiTheme="minorHAnsi" w:cstheme="minorHAnsi"/>
          <w:sz w:val="22"/>
          <w:szCs w:val="22"/>
        </w:rPr>
        <w:t xml:space="preserve">  The </w:t>
      </w:r>
      <w:r w:rsidRPr="00B06978">
        <w:rPr>
          <w:rFonts w:asciiTheme="minorHAnsi" w:hAnsiTheme="minorHAnsi" w:cstheme="minorHAnsi"/>
          <w:sz w:val="22"/>
          <w:szCs w:val="22"/>
        </w:rPr>
        <w:t xml:space="preserve">final rule:  </w:t>
      </w:r>
      <w:hyperlink r:id="rId30" w:history="1">
        <w:r w:rsidRPr="00B06978">
          <w:rPr>
            <w:rStyle w:val="Hyperlink"/>
            <w:rFonts w:asciiTheme="minorHAnsi" w:hAnsiTheme="minorHAnsi" w:cstheme="minorHAnsi"/>
            <w:sz w:val="22"/>
            <w:szCs w:val="22"/>
          </w:rPr>
          <w:t>http://www.gpo.gov/fdsys/pkg/FR-2013-01-25/pdf/2013-01073.pdf</w:t>
        </w:r>
      </w:hyperlink>
    </w:p>
    <w:p w:rsidR="00A017FC" w:rsidRPr="00B06978" w:rsidRDefault="00A017FC" w:rsidP="00B06978">
      <w:pPr>
        <w:pStyle w:val="PlainText"/>
        <w:rPr>
          <w:rFonts w:asciiTheme="minorHAnsi" w:hAnsiTheme="minorHAnsi" w:cstheme="minorHAnsi"/>
          <w:sz w:val="22"/>
          <w:szCs w:val="22"/>
        </w:rPr>
      </w:pPr>
    </w:p>
    <w:p w:rsidR="004636E7" w:rsidRPr="004636E7" w:rsidRDefault="004636E7">
      <w:pPr>
        <w:rPr>
          <w:b/>
        </w:rPr>
      </w:pPr>
      <w:r w:rsidRPr="004636E7">
        <w:rPr>
          <w:b/>
        </w:rPr>
        <w:lastRenderedPageBreak/>
        <w:t>RHC Visits at Nursing Homes/SNFs</w:t>
      </w:r>
      <w:r w:rsidR="0061022B">
        <w:rPr>
          <w:b/>
        </w:rPr>
        <w:t>/Swing Beds</w:t>
      </w:r>
    </w:p>
    <w:p w:rsidR="00E1202E" w:rsidRPr="004636E7" w:rsidRDefault="00E1202E" w:rsidP="00E1202E">
      <w:r w:rsidRPr="00E1202E">
        <w:t xml:space="preserve">Nursing </w:t>
      </w:r>
      <w:r w:rsidR="000C4002">
        <w:t>h</w:t>
      </w:r>
      <w:r w:rsidRPr="00E1202E">
        <w:t xml:space="preserve">ome, </w:t>
      </w:r>
      <w:r w:rsidR="000C4002">
        <w:t>s</w:t>
      </w:r>
      <w:r w:rsidRPr="00E1202E">
        <w:t xml:space="preserve">killed </w:t>
      </w:r>
      <w:r w:rsidR="000C4002">
        <w:t>n</w:t>
      </w:r>
      <w:r w:rsidRPr="00E1202E">
        <w:t xml:space="preserve">ursing </w:t>
      </w:r>
      <w:r w:rsidR="000C4002">
        <w:t>facility,</w:t>
      </w:r>
      <w:r w:rsidRPr="00E1202E">
        <w:t xml:space="preserve"> and </w:t>
      </w:r>
      <w:r w:rsidR="000C4002">
        <w:t>s</w:t>
      </w:r>
      <w:r w:rsidRPr="00E1202E">
        <w:t xml:space="preserve">wing </w:t>
      </w:r>
      <w:r w:rsidR="000C4002">
        <w:t>b</w:t>
      </w:r>
      <w:r w:rsidRPr="00E1202E">
        <w:t xml:space="preserve">ed visits are all RHC visits.  If the patient is on a Medicare Part A stay in the SNF or </w:t>
      </w:r>
      <w:r>
        <w:t>swing</w:t>
      </w:r>
      <w:r w:rsidRPr="00E1202E">
        <w:t xml:space="preserve"> </w:t>
      </w:r>
      <w:r>
        <w:t>b</w:t>
      </w:r>
      <w:r w:rsidRPr="00E1202E">
        <w:t>ed, the rev</w:t>
      </w:r>
      <w:r>
        <w:t>enue</w:t>
      </w:r>
      <w:r w:rsidRPr="00E1202E">
        <w:t xml:space="preserve"> code is 524; if the patient is a resident of a </w:t>
      </w:r>
      <w:r>
        <w:t>n</w:t>
      </w:r>
      <w:r w:rsidRPr="00E1202E">
        <w:t xml:space="preserve">ursing home and/or not on a Medicare Part A stay, the code is 525.  </w:t>
      </w:r>
      <w:r w:rsidR="000C4002">
        <w:t>T</w:t>
      </w:r>
      <w:r w:rsidRPr="00E1202E">
        <w:t>he nursing home CPT codes</w:t>
      </w:r>
      <w:r>
        <w:t xml:space="preserve"> (</w:t>
      </w:r>
      <w:r w:rsidRPr="00E1202E">
        <w:t>99304-99309</w:t>
      </w:r>
      <w:r>
        <w:t>)</w:t>
      </w:r>
      <w:r w:rsidR="000C4002">
        <w:t xml:space="preserve"> can be used</w:t>
      </w:r>
      <w:r>
        <w:t>,</w:t>
      </w:r>
      <w:r w:rsidRPr="00E1202E">
        <w:t xml:space="preserve"> but the</w:t>
      </w:r>
      <w:r w:rsidR="000C4002">
        <w:t>y</w:t>
      </w:r>
      <w:r w:rsidRPr="00E1202E">
        <w:t xml:space="preserve"> do not show on </w:t>
      </w:r>
      <w:r>
        <w:t xml:space="preserve">a </w:t>
      </w:r>
      <w:r w:rsidRPr="00E1202E">
        <w:t xml:space="preserve">claim, only the </w:t>
      </w:r>
      <w:r>
        <w:t>r</w:t>
      </w:r>
      <w:r w:rsidRPr="00E1202E">
        <w:t>ev</w:t>
      </w:r>
      <w:r>
        <w:t>enue</w:t>
      </w:r>
      <w:r w:rsidRPr="00E1202E">
        <w:t xml:space="preserve"> code and the un</w:t>
      </w:r>
      <w:r w:rsidR="00AD1559">
        <w:t>it of 1 and the total charges.  [</w:t>
      </w:r>
      <w:r>
        <w:t xml:space="preserve">In addition to the CPT codes, </w:t>
      </w:r>
      <w:r w:rsidRPr="004636E7">
        <w:t xml:space="preserve">place of service </w:t>
      </w:r>
      <w:r>
        <w:t xml:space="preserve">code </w:t>
      </w:r>
      <w:r w:rsidRPr="004636E7">
        <w:t>31</w:t>
      </w:r>
      <w:r>
        <w:t xml:space="preserve"> is used</w:t>
      </w:r>
      <w:r w:rsidRPr="004636E7">
        <w:t xml:space="preserve">. </w:t>
      </w:r>
      <w:r>
        <w:t xml:space="preserve"> </w:t>
      </w:r>
      <w:r w:rsidR="000C4002">
        <w:t>T</w:t>
      </w:r>
      <w:r w:rsidRPr="004636E7">
        <w:t xml:space="preserve">he </w:t>
      </w:r>
      <w:r>
        <w:t xml:space="preserve">name and </w:t>
      </w:r>
      <w:r w:rsidRPr="004636E7">
        <w:t xml:space="preserve">NPI </w:t>
      </w:r>
      <w:r>
        <w:t>of</w:t>
      </w:r>
      <w:r w:rsidRPr="004636E7">
        <w:t xml:space="preserve"> the</w:t>
      </w:r>
      <w:r>
        <w:t xml:space="preserve"> </w:t>
      </w:r>
      <w:r w:rsidRPr="004636E7">
        <w:t>nursing home</w:t>
      </w:r>
      <w:r w:rsidR="000C4002">
        <w:t xml:space="preserve"> must also be included</w:t>
      </w:r>
      <w:r w:rsidRPr="004636E7">
        <w:t>.</w:t>
      </w:r>
      <w:r w:rsidR="00AD1559">
        <w:t>]</w:t>
      </w:r>
    </w:p>
    <w:p w:rsidR="00B63041" w:rsidRDefault="00B63041"/>
    <w:p w:rsidR="00E92B0B" w:rsidRPr="00E92B0B" w:rsidRDefault="00F84A3E">
      <w:pPr>
        <w:rPr>
          <w:b/>
        </w:rPr>
      </w:pPr>
      <w:r>
        <w:rPr>
          <w:b/>
        </w:rPr>
        <w:t>Hospital Visits</w:t>
      </w:r>
    </w:p>
    <w:p w:rsidR="00016DAF" w:rsidRDefault="00016DAF">
      <w:r w:rsidRPr="00016DAF">
        <w:t>Hospital admits, ER, OB</w:t>
      </w:r>
      <w:r>
        <w:t>s</w:t>
      </w:r>
      <w:r w:rsidRPr="00016DAF">
        <w:t>, and any hospital OP professional service</w:t>
      </w:r>
      <w:r w:rsidR="00C9261C">
        <w:t>s</w:t>
      </w:r>
      <w:r w:rsidRPr="00016DAF">
        <w:t xml:space="preserve"> </w:t>
      </w:r>
      <w:r w:rsidR="00C9261C">
        <w:t>are</w:t>
      </w:r>
      <w:r w:rsidRPr="00016DAF">
        <w:t xml:space="preserve"> billed to Medicare Part B on the 1500</w:t>
      </w:r>
      <w:r>
        <w:t>.</w:t>
      </w:r>
      <w:r w:rsidRPr="00016DAF">
        <w:t xml:space="preserve"> </w:t>
      </w:r>
      <w:r>
        <w:t xml:space="preserve"> T</w:t>
      </w:r>
      <w:r w:rsidRPr="00016DAF">
        <w:t>he only service in the hospital setting that is billed as an RHC visit is a swing bed visit.</w:t>
      </w:r>
    </w:p>
    <w:p w:rsidR="0061022B" w:rsidRDefault="0061022B"/>
    <w:p w:rsidR="00752F09" w:rsidRPr="00752F09" w:rsidRDefault="00752F09">
      <w:pPr>
        <w:rPr>
          <w:b/>
        </w:rPr>
      </w:pPr>
      <w:r w:rsidRPr="00752F09">
        <w:rPr>
          <w:b/>
        </w:rPr>
        <w:t>Home Health Eligibility Certification</w:t>
      </w:r>
    </w:p>
    <w:p w:rsidR="008979BA" w:rsidRDefault="000B3673" w:rsidP="008979BA">
      <w:r>
        <w:t>T</w:t>
      </w:r>
      <w:r w:rsidR="00752F09">
        <w:t xml:space="preserve">he </w:t>
      </w:r>
      <w:r w:rsidR="00752F09" w:rsidRPr="00752F09">
        <w:t>Affordable Care Act mandates that</w:t>
      </w:r>
      <w:r>
        <w:t>,</w:t>
      </w:r>
      <w:r w:rsidR="00752F09" w:rsidRPr="00752F09">
        <w:t xml:space="preserve"> before </w:t>
      </w:r>
      <w:r w:rsidR="008979BA">
        <w:t xml:space="preserve">a physician (MD, DO, or DPM) </w:t>
      </w:r>
      <w:r w:rsidR="00752F09" w:rsidRPr="00752F09">
        <w:t>certifi</w:t>
      </w:r>
      <w:r w:rsidR="008979BA">
        <w:t>es</w:t>
      </w:r>
      <w:r w:rsidR="00752F09" w:rsidRPr="00752F09">
        <w:t xml:space="preserve"> </w:t>
      </w:r>
      <w:r w:rsidR="008979BA">
        <w:t xml:space="preserve">a patient’s </w:t>
      </w:r>
      <w:r w:rsidR="00752F09" w:rsidRPr="00752F09">
        <w:t xml:space="preserve">eligibility for </w:t>
      </w:r>
      <w:r w:rsidR="000C4002">
        <w:t xml:space="preserve">the home health </w:t>
      </w:r>
      <w:r w:rsidR="00752F09" w:rsidRPr="00752F09">
        <w:t xml:space="preserve">benefit, </w:t>
      </w:r>
      <w:r w:rsidR="008979BA">
        <w:t xml:space="preserve">an eligible </w:t>
      </w:r>
      <w:r w:rsidR="00752F09" w:rsidRPr="00752F09">
        <w:t xml:space="preserve">practitioner </w:t>
      </w:r>
      <w:r w:rsidR="008979BA">
        <w:t xml:space="preserve">(physician, NP, PA, CNM, CNS) </w:t>
      </w:r>
      <w:r w:rsidR="00752F09" w:rsidRPr="00752F09">
        <w:t xml:space="preserve">must have a face-to-face encounter with the patient. </w:t>
      </w:r>
      <w:r w:rsidR="000C4002">
        <w:t>(</w:t>
      </w:r>
      <w:r w:rsidR="00752F09" w:rsidRPr="00752F09">
        <w:t xml:space="preserve">See </w:t>
      </w:r>
      <w:hyperlink r:id="rId31" w:history="1">
        <w:r w:rsidR="00752F09" w:rsidRPr="00C9261C">
          <w:rPr>
            <w:rStyle w:val="Hyperlink"/>
          </w:rPr>
          <w:t>MLM SE1038</w:t>
        </w:r>
      </w:hyperlink>
      <w:r w:rsidR="00172772">
        <w:t>,</w:t>
      </w:r>
      <w:r w:rsidR="00752F09" w:rsidRPr="00752F09">
        <w:t xml:space="preserve"> </w:t>
      </w:r>
      <w:r w:rsidR="00CE362A">
        <w:t>12/</w:t>
      </w:r>
      <w:r w:rsidR="00752F09" w:rsidRPr="00752F09">
        <w:t>16</w:t>
      </w:r>
      <w:r w:rsidR="00CE362A">
        <w:t>/</w:t>
      </w:r>
      <w:r w:rsidR="00752F09" w:rsidRPr="00752F09">
        <w:t>10</w:t>
      </w:r>
      <w:r w:rsidR="000C4002">
        <w:t>)</w:t>
      </w:r>
      <w:r>
        <w:t xml:space="preserve"> </w:t>
      </w:r>
      <w:r w:rsidR="00CE362A">
        <w:t xml:space="preserve"> </w:t>
      </w:r>
      <w:r w:rsidR="00FE0D20" w:rsidRPr="00920D3E">
        <w:t xml:space="preserve">Home </w:t>
      </w:r>
      <w:r w:rsidR="00FE0D20">
        <w:t>h</w:t>
      </w:r>
      <w:r w:rsidR="00FE0D20" w:rsidRPr="00920D3E">
        <w:t>ealth certifications are RHC services</w:t>
      </w:r>
      <w:r w:rsidR="00FE0D20">
        <w:t xml:space="preserve">; however, certification alone </w:t>
      </w:r>
      <w:r w:rsidR="00FE0D20" w:rsidRPr="00FE0D20">
        <w:t>may not meet the medical necessity req</w:t>
      </w:r>
      <w:r w:rsidR="00FE0D20">
        <w:t>uirement for an RHC encounter.  Specific documentation of medical necessity is required.</w:t>
      </w:r>
    </w:p>
    <w:p w:rsidR="008979BA" w:rsidRDefault="008979BA"/>
    <w:p w:rsidR="008979BA" w:rsidRPr="008979BA" w:rsidRDefault="008979BA">
      <w:pPr>
        <w:rPr>
          <w:b/>
        </w:rPr>
      </w:pPr>
      <w:r w:rsidRPr="008979BA">
        <w:rPr>
          <w:b/>
        </w:rPr>
        <w:t>RHC Visiting Nurse Services</w:t>
      </w:r>
    </w:p>
    <w:p w:rsidR="008979BA" w:rsidRDefault="008979BA" w:rsidP="008979BA">
      <w:r>
        <w:t>RHCs may request approval to provide visiting nurse services to patients in areas where a home health agency shortage has been determined to exist.  Th</w:t>
      </w:r>
      <w:r w:rsidR="000B3673">
        <w:t>e</w:t>
      </w:r>
      <w:r>
        <w:t xml:space="preserve"> </w:t>
      </w:r>
      <w:r w:rsidR="000B3673">
        <w:t xml:space="preserve">determination </w:t>
      </w:r>
      <w:r>
        <w:t>process</w:t>
      </w:r>
      <w:r w:rsidR="000B3673">
        <w:t xml:space="preserve"> (</w:t>
      </w:r>
      <w:r>
        <w:t>as o</w:t>
      </w:r>
      <w:r w:rsidR="000B3673">
        <w:t>f</w:t>
      </w:r>
      <w:r>
        <w:t xml:space="preserve"> early 2012</w:t>
      </w:r>
      <w:r w:rsidR="000B3673">
        <w:t>)</w:t>
      </w:r>
      <w:r>
        <w:t xml:space="preserve"> is not clearly defined or uniform across CMS regions.  The following is excerpted from the State Operations Manual:</w:t>
      </w:r>
    </w:p>
    <w:p w:rsidR="008979BA" w:rsidRPr="008979BA" w:rsidRDefault="008979BA" w:rsidP="008979BA"/>
    <w:p w:rsidR="008979BA" w:rsidRPr="008979BA" w:rsidRDefault="008979BA" w:rsidP="00C9261C">
      <w:pPr>
        <w:spacing w:after="180"/>
        <w:ind w:right="187"/>
        <w:rPr>
          <w:sz w:val="19"/>
          <w:szCs w:val="19"/>
        </w:rPr>
      </w:pPr>
      <w:r w:rsidRPr="000B3673">
        <w:rPr>
          <w:i/>
          <w:sz w:val="19"/>
          <w:szCs w:val="19"/>
        </w:rPr>
        <w:t>2246 - Clinic’s Request to Provide Visiting Nurse Services</w:t>
      </w:r>
      <w:r w:rsidRPr="008979BA">
        <w:rPr>
          <w:sz w:val="19"/>
          <w:szCs w:val="19"/>
        </w:rPr>
        <w:t xml:space="preserve"> (Rev. 1, 05-21-04) </w:t>
      </w:r>
      <w:r w:rsidR="000B3673">
        <w:rPr>
          <w:sz w:val="19"/>
          <w:szCs w:val="19"/>
        </w:rPr>
        <w:t xml:space="preserve">  </w:t>
      </w:r>
      <w:r w:rsidRPr="008979BA">
        <w:rPr>
          <w:sz w:val="19"/>
          <w:szCs w:val="19"/>
        </w:rPr>
        <w:t>An approved RHC may also seek approval to provide covered visiting nurse services. An RN, LPN, or licensed vocational nur</w:t>
      </w:r>
      <w:r w:rsidR="000B3673">
        <w:rPr>
          <w:sz w:val="19"/>
          <w:szCs w:val="19"/>
        </w:rPr>
        <w:t>se must furnish these services.</w:t>
      </w:r>
    </w:p>
    <w:p w:rsidR="008979BA" w:rsidRPr="008979BA" w:rsidRDefault="008979BA" w:rsidP="00C9261C">
      <w:pPr>
        <w:spacing w:after="180"/>
        <w:ind w:right="187"/>
        <w:rPr>
          <w:sz w:val="19"/>
          <w:szCs w:val="19"/>
        </w:rPr>
      </w:pPr>
      <w:r w:rsidRPr="008979BA">
        <w:rPr>
          <w:sz w:val="19"/>
          <w:szCs w:val="19"/>
        </w:rPr>
        <w:t>When a request is received, the SA determines if a shortage of HHAs exists in the area. Refer to 42 CFR Part 405.2417 and consults with the RO, as appropriate. If there is an existing HHA furnishing services in the RHC area, the SA contacts the HHA for a statement of its ability or inability to adequately furnish nursing services in the area. In addition, the SA obtains information from the local or State health plann</w:t>
      </w:r>
      <w:r w:rsidR="000B3673">
        <w:rPr>
          <w:sz w:val="19"/>
          <w:szCs w:val="19"/>
        </w:rPr>
        <w:t>ing organization.</w:t>
      </w:r>
    </w:p>
    <w:p w:rsidR="008979BA" w:rsidRPr="008979BA" w:rsidRDefault="008979BA" w:rsidP="00C9261C">
      <w:pPr>
        <w:spacing w:after="180"/>
        <w:ind w:right="187"/>
        <w:rPr>
          <w:sz w:val="19"/>
          <w:szCs w:val="19"/>
        </w:rPr>
      </w:pPr>
      <w:r w:rsidRPr="008979BA">
        <w:rPr>
          <w:sz w:val="19"/>
          <w:szCs w:val="19"/>
        </w:rPr>
        <w:t xml:space="preserve">If there is not a shortage of home health services for the area, the SA notifies the RO. In such cases, approval to furnish visiting nursing services to homebound patients will not be granted, and the RHC must refer its homebound patients to the HHA serving the area. </w:t>
      </w:r>
    </w:p>
    <w:p w:rsidR="008979BA" w:rsidRPr="008979BA" w:rsidRDefault="008979BA" w:rsidP="000B3673">
      <w:pPr>
        <w:ind w:right="180"/>
      </w:pPr>
      <w:r w:rsidRPr="008979BA">
        <w:rPr>
          <w:sz w:val="19"/>
          <w:szCs w:val="19"/>
        </w:rPr>
        <w:t>If there is a shortage of home health services, the SA notifies the RO and evaluates the qualifications of RHC personnel who are responsible for the delivery of nursing services. This evaluation must include compliance with applicable State licensure/certification requirements for RNs, LPNs, or licensed vocational nurses who provide services for the clinic.</w:t>
      </w:r>
    </w:p>
    <w:p w:rsidR="002C307B" w:rsidRDefault="002C307B" w:rsidP="008979BA"/>
    <w:p w:rsidR="0061022B" w:rsidRPr="0061022B" w:rsidRDefault="0061022B">
      <w:pPr>
        <w:rPr>
          <w:b/>
        </w:rPr>
      </w:pPr>
      <w:r>
        <w:rPr>
          <w:b/>
        </w:rPr>
        <w:t>Hospice Visits</w:t>
      </w:r>
    </w:p>
    <w:p w:rsidR="00226906" w:rsidRPr="0061022B" w:rsidRDefault="0061022B" w:rsidP="0061022B">
      <w:r w:rsidRPr="0061022B">
        <w:t xml:space="preserve">If services rendered to a </w:t>
      </w:r>
      <w:r w:rsidR="001E2077">
        <w:t xml:space="preserve">beneficiary </w:t>
      </w:r>
      <w:r w:rsidRPr="0061022B">
        <w:t xml:space="preserve">who has elected the </w:t>
      </w:r>
      <w:r>
        <w:t>h</w:t>
      </w:r>
      <w:r w:rsidRPr="0061022B">
        <w:t xml:space="preserve">ospice benefit are </w:t>
      </w:r>
      <w:r w:rsidRPr="00F628F0">
        <w:rPr>
          <w:u w:val="single"/>
        </w:rPr>
        <w:t>not</w:t>
      </w:r>
      <w:r w:rsidRPr="0061022B">
        <w:t xml:space="preserve"> related to the </w:t>
      </w:r>
      <w:r>
        <w:t xml:space="preserve">terminal illness, </w:t>
      </w:r>
      <w:r w:rsidRPr="0061022B">
        <w:t>the RHC ma</w:t>
      </w:r>
      <w:r w:rsidR="000C4002">
        <w:t>y bill using condition code 07.</w:t>
      </w:r>
      <w:r w:rsidR="006D1B16">
        <w:t xml:space="preserve">  An RHC practitioner cannot provide services related to the terminal illness </w:t>
      </w:r>
      <w:r w:rsidR="00F628F0">
        <w:t xml:space="preserve">while on duty at the </w:t>
      </w:r>
      <w:r w:rsidR="006D1B16">
        <w:t>RHC, even if s/he is the beneficiary’s designated attending physician.  S/he can provide and bill for Part B services during non-RHC hours or when not on duty at the RHC.</w:t>
      </w:r>
    </w:p>
    <w:p w:rsidR="0061022B" w:rsidRDefault="0061022B"/>
    <w:p w:rsidR="00706273" w:rsidRPr="00706273" w:rsidRDefault="00706273">
      <w:pPr>
        <w:rPr>
          <w:b/>
        </w:rPr>
      </w:pPr>
      <w:r w:rsidRPr="00706273">
        <w:rPr>
          <w:b/>
        </w:rPr>
        <w:t>Telehealth/Telemedicine</w:t>
      </w:r>
    </w:p>
    <w:p w:rsidR="00706273" w:rsidRPr="00706273" w:rsidRDefault="00706273" w:rsidP="00706273">
      <w:r>
        <w:t>An</w:t>
      </w:r>
      <w:r w:rsidRPr="00706273">
        <w:t xml:space="preserve"> RHC is a recognized "originating" </w:t>
      </w:r>
      <w:r w:rsidR="00AC46C9">
        <w:t xml:space="preserve">(patient) </w:t>
      </w:r>
      <w:r w:rsidRPr="00706273">
        <w:t>site and can bill Medicare for a telehealth site origination fee</w:t>
      </w:r>
      <w:r w:rsidR="00B6751B">
        <w:t xml:space="preserve"> (</w:t>
      </w:r>
      <w:r w:rsidR="00B6751B" w:rsidRPr="00B6751B">
        <w:t xml:space="preserve">Rev Code </w:t>
      </w:r>
      <w:r w:rsidR="00AC46C9">
        <w:t>0</w:t>
      </w:r>
      <w:r w:rsidR="00B6751B" w:rsidRPr="00B6751B">
        <w:t>780 and CPT code Q3014</w:t>
      </w:r>
      <w:r w:rsidR="00B6751B">
        <w:t>)</w:t>
      </w:r>
      <w:r w:rsidR="007A288D">
        <w:t xml:space="preserve">, </w:t>
      </w:r>
      <w:r w:rsidR="00AC46C9">
        <w:t xml:space="preserve">which is </w:t>
      </w:r>
      <w:r w:rsidR="00AC46C9" w:rsidRPr="001E2077">
        <w:rPr>
          <w:u w:val="single"/>
        </w:rPr>
        <w:t>$24.</w:t>
      </w:r>
      <w:r w:rsidR="001E2077" w:rsidRPr="001E2077">
        <w:rPr>
          <w:u w:val="single"/>
        </w:rPr>
        <w:t>43 in 2013</w:t>
      </w:r>
      <w:r w:rsidR="00B6751B">
        <w:t>.  T</w:t>
      </w:r>
      <w:r w:rsidRPr="00706273">
        <w:t xml:space="preserve">he </w:t>
      </w:r>
      <w:r w:rsidR="007A288D">
        <w:t xml:space="preserve">telehealth visit </w:t>
      </w:r>
      <w:r w:rsidRPr="00706273">
        <w:t>doe</w:t>
      </w:r>
      <w:r w:rsidR="00B6751B">
        <w:t xml:space="preserve">s </w:t>
      </w:r>
      <w:r w:rsidR="00B6751B" w:rsidRPr="00AC46C9">
        <w:rPr>
          <w:u w:val="single"/>
        </w:rPr>
        <w:t>not</w:t>
      </w:r>
      <w:r w:rsidR="00B6751B">
        <w:t xml:space="preserve"> qualify as an RHC </w:t>
      </w:r>
      <w:r w:rsidR="007A288D">
        <w:t>encounter</w:t>
      </w:r>
      <w:r w:rsidR="00B6751B">
        <w:t>, although the beneficiary can have an RHC-billable encounter on the same day for another purpose.</w:t>
      </w:r>
    </w:p>
    <w:p w:rsidR="00706273" w:rsidRDefault="00706273" w:rsidP="00706273"/>
    <w:p w:rsidR="007A38B9" w:rsidRDefault="00DB5335" w:rsidP="007A38B9">
      <w:pPr>
        <w:tabs>
          <w:tab w:val="num" w:pos="720"/>
        </w:tabs>
      </w:pPr>
      <w:r>
        <w:t>A</w:t>
      </w:r>
      <w:r w:rsidR="007A288D" w:rsidRPr="007A288D">
        <w:t xml:space="preserve">n RHC cannot bill </w:t>
      </w:r>
      <w:r>
        <w:t xml:space="preserve">Medicare </w:t>
      </w:r>
      <w:r w:rsidR="007A288D" w:rsidRPr="007A288D">
        <w:t>as a “distant” (specialist) site during RHC hours.</w:t>
      </w:r>
      <w:r w:rsidR="007A288D">
        <w:t xml:space="preserve">  This is because an R</w:t>
      </w:r>
      <w:r w:rsidR="007A288D" w:rsidRPr="007A288D">
        <w:t xml:space="preserve">HC </w:t>
      </w:r>
      <w:r w:rsidR="007A288D">
        <w:t xml:space="preserve">is </w:t>
      </w:r>
      <w:r w:rsidR="007A288D" w:rsidRPr="007A288D">
        <w:t xml:space="preserve">not an authorized physician or practitioner under </w:t>
      </w:r>
      <w:r w:rsidR="007A38B9">
        <w:t xml:space="preserve">the telehealth </w:t>
      </w:r>
      <w:r w:rsidR="007A288D" w:rsidRPr="007A288D">
        <w:t>statute</w:t>
      </w:r>
      <w:r w:rsidR="007A288D">
        <w:t xml:space="preserve">, and an RHC is not permitted to </w:t>
      </w:r>
      <w:r w:rsidR="007A288D" w:rsidRPr="007A288D">
        <w:t xml:space="preserve">bill </w:t>
      </w:r>
      <w:r w:rsidR="007A38B9">
        <w:t xml:space="preserve">Part B </w:t>
      </w:r>
      <w:r w:rsidR="007A288D" w:rsidRPr="007A288D">
        <w:t>fee-for-service during RHC hours</w:t>
      </w:r>
      <w:r w:rsidR="007A38B9">
        <w:t xml:space="preserve"> </w:t>
      </w:r>
      <w:r w:rsidR="006D1B16">
        <w:t>(</w:t>
      </w:r>
      <w:r w:rsidR="007A38B9">
        <w:t>except diagnostic tests</w:t>
      </w:r>
      <w:r w:rsidR="006D1B16">
        <w:t>)</w:t>
      </w:r>
      <w:r w:rsidR="00AC46C9">
        <w:t>.</w:t>
      </w:r>
    </w:p>
    <w:p w:rsidR="001D20C8" w:rsidRDefault="001D20C8" w:rsidP="00CD2171"/>
    <w:p w:rsidR="00C9261C" w:rsidRDefault="00C9261C" w:rsidP="00C9261C">
      <w:pPr>
        <w:tabs>
          <w:tab w:val="num" w:pos="720"/>
        </w:tabs>
      </w:pPr>
      <w:r w:rsidRPr="00706273">
        <w:t>Medicaid policy on telehealth varies from state-to-state</w:t>
      </w:r>
      <w:r>
        <w:t>.  C</w:t>
      </w:r>
      <w:r w:rsidRPr="00706273">
        <w:t xml:space="preserve">ontact </w:t>
      </w:r>
      <w:r>
        <w:t xml:space="preserve">the </w:t>
      </w:r>
      <w:r w:rsidRPr="00706273">
        <w:t xml:space="preserve">state Medicaid agency to see whether </w:t>
      </w:r>
      <w:r>
        <w:t>t</w:t>
      </w:r>
      <w:r w:rsidRPr="00706273">
        <w:t xml:space="preserve">elemedicine </w:t>
      </w:r>
      <w:r>
        <w:t xml:space="preserve">is covered and certain </w:t>
      </w:r>
      <w:r w:rsidRPr="00706273">
        <w:t>health professionals are recognized telehealth providers.</w:t>
      </w:r>
      <w:r>
        <w:t xml:space="preserve">  </w:t>
      </w:r>
      <w:r w:rsidRPr="001D5498">
        <w:rPr>
          <w:i/>
        </w:rPr>
        <w:t>Medicare staff has indicated that th</w:t>
      </w:r>
      <w:r>
        <w:rPr>
          <w:i/>
        </w:rPr>
        <w:t>e distance site</w:t>
      </w:r>
      <w:r w:rsidRPr="001D5498">
        <w:rPr>
          <w:i/>
        </w:rPr>
        <w:t xml:space="preserve"> prohibition extends to Medicaid, though Medicaid staff disagrees.</w:t>
      </w:r>
    </w:p>
    <w:p w:rsidR="00C9261C" w:rsidRDefault="00C9261C" w:rsidP="00CD2171"/>
    <w:p w:rsidR="006B7E3A" w:rsidRPr="00CD2171" w:rsidRDefault="006B7E3A" w:rsidP="00CD2171"/>
    <w:p w:rsidR="008228BF" w:rsidRPr="008228BF" w:rsidRDefault="008228BF">
      <w:pPr>
        <w:rPr>
          <w:b/>
        </w:rPr>
      </w:pPr>
      <w:r w:rsidRPr="008228BF">
        <w:rPr>
          <w:b/>
        </w:rPr>
        <w:lastRenderedPageBreak/>
        <w:t>Injections</w:t>
      </w:r>
      <w:r w:rsidR="004C677C">
        <w:rPr>
          <w:b/>
        </w:rPr>
        <w:t>/Vaccines</w:t>
      </w:r>
    </w:p>
    <w:p w:rsidR="00C42BD0" w:rsidRDefault="004C51B0" w:rsidP="00C42BD0">
      <w:r>
        <w:t>Administration of inf</w:t>
      </w:r>
      <w:r w:rsidR="00C42BD0" w:rsidRPr="00C42BD0">
        <w:t>lu</w:t>
      </w:r>
      <w:r>
        <w:t>enza</w:t>
      </w:r>
      <w:r w:rsidR="00C42BD0" w:rsidRPr="00C42BD0">
        <w:t xml:space="preserve"> and </w:t>
      </w:r>
      <w:r w:rsidR="00154A32">
        <w:t>p</w:t>
      </w:r>
      <w:r w:rsidR="00C42BD0" w:rsidRPr="00C42BD0">
        <w:t>neumo</w:t>
      </w:r>
      <w:r w:rsidR="00C42BD0">
        <w:t>nia vaccinations</w:t>
      </w:r>
      <w:r w:rsidR="00C42BD0" w:rsidRPr="00C42BD0">
        <w:t xml:space="preserve"> does not constitute a</w:t>
      </w:r>
      <w:r w:rsidR="00C42BD0">
        <w:t xml:space="preserve"> billable </w:t>
      </w:r>
      <w:r w:rsidR="00C42BD0" w:rsidRPr="00C42BD0">
        <w:t>RHC encounter</w:t>
      </w:r>
      <w:r w:rsidR="00C42BD0">
        <w:t>; h</w:t>
      </w:r>
      <w:r w:rsidR="00C42BD0" w:rsidRPr="00C42BD0">
        <w:t xml:space="preserve">owever, Medicare </w:t>
      </w:r>
      <w:r w:rsidR="00C42BD0" w:rsidRPr="009E649A">
        <w:t>fully reimburses</w:t>
      </w:r>
      <w:r w:rsidR="00C42BD0" w:rsidRPr="00C42BD0">
        <w:t xml:space="preserve"> RHC</w:t>
      </w:r>
      <w:r w:rsidR="00C42BD0">
        <w:t>s</w:t>
      </w:r>
      <w:r w:rsidR="00C42BD0" w:rsidRPr="00C42BD0">
        <w:t xml:space="preserve"> for the</w:t>
      </w:r>
      <w:r w:rsidR="00C261AE">
        <w:t xml:space="preserve">ir </w:t>
      </w:r>
      <w:r w:rsidR="00C42BD0" w:rsidRPr="00C42BD0">
        <w:t xml:space="preserve">administration as part of </w:t>
      </w:r>
      <w:r w:rsidR="00C261AE">
        <w:t>year-</w:t>
      </w:r>
      <w:r w:rsidR="00C42BD0">
        <w:t xml:space="preserve">end cost report reconciliation.  RHCs </w:t>
      </w:r>
      <w:r>
        <w:t xml:space="preserve">report </w:t>
      </w:r>
      <w:r w:rsidR="00C42BD0" w:rsidRPr="00C42BD0">
        <w:t>the cost of the</w:t>
      </w:r>
      <w:r w:rsidR="00C42BD0">
        <w:t xml:space="preserve"> </w:t>
      </w:r>
      <w:r w:rsidR="00C42BD0" w:rsidRPr="00C42BD0">
        <w:t>vaccine</w:t>
      </w:r>
      <w:r w:rsidR="00C42BD0">
        <w:t>,</w:t>
      </w:r>
      <w:r w:rsidR="00C42BD0" w:rsidRPr="00C42BD0">
        <w:t xml:space="preserve"> </w:t>
      </w:r>
      <w:r>
        <w:t>personnel (incl.</w:t>
      </w:r>
      <w:r w:rsidR="00C42BD0" w:rsidRPr="00C42BD0">
        <w:t xml:space="preserve"> nursing)</w:t>
      </w:r>
      <w:r>
        <w:t>,</w:t>
      </w:r>
      <w:r w:rsidR="00C42BD0" w:rsidRPr="00C42BD0">
        <w:t xml:space="preserve"> and other administrative</w:t>
      </w:r>
      <w:r w:rsidR="00C42BD0">
        <w:t xml:space="preserve"> </w:t>
      </w:r>
      <w:r w:rsidR="00C42BD0" w:rsidRPr="00C42BD0">
        <w:t>and ancillary costs</w:t>
      </w:r>
      <w:r>
        <w:t xml:space="preserve"> </w:t>
      </w:r>
      <w:r w:rsidR="00C42BD0" w:rsidRPr="00C42BD0">
        <w:t xml:space="preserve">on </w:t>
      </w:r>
      <w:r w:rsidR="009E649A">
        <w:t>s</w:t>
      </w:r>
      <w:r w:rsidR="00C42BD0" w:rsidRPr="00C42BD0">
        <w:t xml:space="preserve">upplemental </w:t>
      </w:r>
      <w:r w:rsidR="009E649A">
        <w:t>w</w:t>
      </w:r>
      <w:r w:rsidR="00C42BD0" w:rsidRPr="00C42BD0">
        <w:t>orksheet B</w:t>
      </w:r>
      <w:r w:rsidR="00C42BD0">
        <w:t xml:space="preserve">, </w:t>
      </w:r>
      <w:r w:rsidR="00C42BD0" w:rsidRPr="00C42BD0">
        <w:t>entitled,</w:t>
      </w:r>
      <w:r w:rsidR="00C42BD0">
        <w:t xml:space="preserve"> </w:t>
      </w:r>
      <w:r w:rsidR="00C42BD0" w:rsidRPr="00C42BD0">
        <w:t xml:space="preserve">"Computation </w:t>
      </w:r>
      <w:r w:rsidR="00154A32">
        <w:t>o</w:t>
      </w:r>
      <w:r w:rsidR="00C42BD0" w:rsidRPr="00C42BD0">
        <w:t>f</w:t>
      </w:r>
      <w:r w:rsidR="00154A32">
        <w:t xml:space="preserve"> </w:t>
      </w:r>
      <w:r w:rsidR="00C42BD0" w:rsidRPr="00C42BD0">
        <w:t xml:space="preserve">Pneumococcal </w:t>
      </w:r>
      <w:r w:rsidR="00154A32">
        <w:t>a</w:t>
      </w:r>
      <w:r w:rsidR="00C42BD0" w:rsidRPr="00C42BD0">
        <w:t xml:space="preserve">nd Influenza Vaccine Cost".  </w:t>
      </w:r>
      <w:r w:rsidR="009E649A" w:rsidRPr="009E649A">
        <w:t xml:space="preserve">These </w:t>
      </w:r>
      <w:r w:rsidR="00C42BD0" w:rsidRPr="009E649A">
        <w:t xml:space="preserve">costs are </w:t>
      </w:r>
      <w:r w:rsidR="009E649A" w:rsidRPr="009E649A">
        <w:t xml:space="preserve">not </w:t>
      </w:r>
      <w:r w:rsidR="00C42BD0" w:rsidRPr="009E649A">
        <w:t xml:space="preserve">subject to the RHC </w:t>
      </w:r>
      <w:r w:rsidR="009E649A" w:rsidRPr="009E649A">
        <w:t xml:space="preserve">payment </w:t>
      </w:r>
      <w:r w:rsidR="00C42BD0" w:rsidRPr="009E649A">
        <w:t>cap</w:t>
      </w:r>
      <w:r w:rsidR="00C42BD0">
        <w:t>.</w:t>
      </w:r>
    </w:p>
    <w:p w:rsidR="009E649A" w:rsidRPr="00C42BD0" w:rsidRDefault="009E649A" w:rsidP="00C42BD0"/>
    <w:p w:rsidR="008228BF" w:rsidRPr="008228BF" w:rsidRDefault="008228BF" w:rsidP="008228BF">
      <w:r w:rsidRPr="008228BF">
        <w:t>If an</w:t>
      </w:r>
      <w:r w:rsidR="00C42BD0">
        <w:t>y other</w:t>
      </w:r>
      <w:r w:rsidRPr="008228BF">
        <w:t xml:space="preserve"> injection is given to a Medicare patient</w:t>
      </w:r>
      <w:r w:rsidR="00F3313A">
        <w:t>, but</w:t>
      </w:r>
      <w:r w:rsidRPr="008228BF">
        <w:t xml:space="preserve"> it is not performed du</w:t>
      </w:r>
      <w:r w:rsidR="00F3313A">
        <w:t>ring a medically-necessary face-</w:t>
      </w:r>
      <w:r w:rsidRPr="008228BF">
        <w:t>to</w:t>
      </w:r>
      <w:r w:rsidR="00F3313A">
        <w:t>-</w:t>
      </w:r>
      <w:r w:rsidRPr="008228BF">
        <w:t>face encounter</w:t>
      </w:r>
      <w:r w:rsidR="00976A4D">
        <w:t>,</w:t>
      </w:r>
      <w:r w:rsidRPr="008228BF">
        <w:t xml:space="preserve"> it is not billable.  </w:t>
      </w:r>
      <w:r w:rsidR="00976A4D">
        <w:t>Ch</w:t>
      </w:r>
      <w:r w:rsidRPr="008228BF">
        <w:t>arge the patient's account</w:t>
      </w:r>
      <w:r w:rsidR="00976A4D">
        <w:t>,</w:t>
      </w:r>
      <w:r w:rsidRPr="008228BF">
        <w:t xml:space="preserve"> the</w:t>
      </w:r>
      <w:r w:rsidR="00976A4D">
        <w:t>n</w:t>
      </w:r>
      <w:r w:rsidRPr="008228BF">
        <w:t xml:space="preserve"> </w:t>
      </w:r>
      <w:r w:rsidR="00976A4D">
        <w:t>w</w:t>
      </w:r>
      <w:r w:rsidRPr="008228BF">
        <w:t xml:space="preserve">rite it off as a </w:t>
      </w:r>
      <w:r w:rsidR="00F3313A">
        <w:t>non-</w:t>
      </w:r>
      <w:r w:rsidRPr="008228BF">
        <w:t xml:space="preserve">billable service.  If performed during </w:t>
      </w:r>
      <w:r w:rsidR="00F3313A">
        <w:t xml:space="preserve">an </w:t>
      </w:r>
      <w:r w:rsidRPr="008228BF">
        <w:t xml:space="preserve">encounter, charge </w:t>
      </w:r>
      <w:r w:rsidR="00F3313A">
        <w:t xml:space="preserve">for </w:t>
      </w:r>
      <w:r w:rsidRPr="008228BF">
        <w:t>injection admin</w:t>
      </w:r>
      <w:r w:rsidR="00F3313A">
        <w:t>istration</w:t>
      </w:r>
      <w:r w:rsidRPr="008228BF">
        <w:t xml:space="preserve"> and the </w:t>
      </w:r>
      <w:r w:rsidR="00F3313A">
        <w:t>serum</w:t>
      </w:r>
      <w:r w:rsidRPr="008228BF">
        <w:t xml:space="preserve"> and bundle those charges in with the other charges for the encounter.  </w:t>
      </w:r>
      <w:r w:rsidR="00F3313A" w:rsidRPr="008228BF">
        <w:t xml:space="preserve">Medicare </w:t>
      </w:r>
      <w:r w:rsidRPr="008228BF">
        <w:t>reimbursement will not increase, but patient co-pay will</w:t>
      </w:r>
      <w:r w:rsidR="00976A4D">
        <w:t>,</w:t>
      </w:r>
      <w:r w:rsidRPr="008228BF">
        <w:t xml:space="preserve"> since it is based on 20% of the total charges for the encounter.  </w:t>
      </w:r>
      <w:r w:rsidR="00F3313A">
        <w:t xml:space="preserve">Never bill </w:t>
      </w:r>
      <w:r w:rsidRPr="008228BF">
        <w:t>Part B for injections given in the RHC during RHC hours of operation.</w:t>
      </w:r>
    </w:p>
    <w:p w:rsidR="008228BF" w:rsidRDefault="008228BF"/>
    <w:p w:rsidR="00F3313A" w:rsidRDefault="00F3313A" w:rsidP="00F3313A">
      <w:r>
        <w:t xml:space="preserve">Alternately, using </w:t>
      </w:r>
      <w:r w:rsidRPr="00F3313A">
        <w:t>the "</w:t>
      </w:r>
      <w:r w:rsidR="00265446">
        <w:t>30</w:t>
      </w:r>
      <w:r w:rsidRPr="00F3313A">
        <w:t>-</w:t>
      </w:r>
      <w:r w:rsidR="00265446">
        <w:t>30</w:t>
      </w:r>
      <w:r w:rsidRPr="00F3313A">
        <w:t>" process</w:t>
      </w:r>
      <w:r>
        <w:t xml:space="preserve">, </w:t>
      </w:r>
      <w:r w:rsidRPr="00F3313A">
        <w:t xml:space="preserve">attach the non-billable charge to an encounter that occurred </w:t>
      </w:r>
      <w:r w:rsidR="00976A4D">
        <w:t xml:space="preserve">within </w:t>
      </w:r>
      <w:r>
        <w:t xml:space="preserve">30 </w:t>
      </w:r>
      <w:r w:rsidRPr="00F3313A">
        <w:t xml:space="preserve">days </w:t>
      </w:r>
      <w:r w:rsidR="00976A4D">
        <w:t>(</w:t>
      </w:r>
      <w:r w:rsidRPr="00F3313A">
        <w:t>before or after</w:t>
      </w:r>
      <w:r w:rsidR="00265446">
        <w:t>, thus 30-30</w:t>
      </w:r>
      <w:r w:rsidR="00976A4D">
        <w:t>) of</w:t>
      </w:r>
      <w:r w:rsidRPr="00F3313A">
        <w:t xml:space="preserve"> the non-billable </w:t>
      </w:r>
      <w:r w:rsidR="00976A4D">
        <w:t>injection</w:t>
      </w:r>
      <w:r w:rsidRPr="00F3313A">
        <w:t xml:space="preserve">.  </w:t>
      </w:r>
      <w:r w:rsidR="00976A4D">
        <w:t>T</w:t>
      </w:r>
      <w:r w:rsidRPr="00F3313A">
        <w:t xml:space="preserve">his </w:t>
      </w:r>
      <w:r>
        <w:t>can be cumbersome and delay</w:t>
      </w:r>
      <w:r w:rsidRPr="00F3313A">
        <w:t xml:space="preserve"> claims processing, </w:t>
      </w:r>
      <w:r>
        <w:t xml:space="preserve">and </w:t>
      </w:r>
      <w:r w:rsidR="00976A4D">
        <w:t xml:space="preserve">may </w:t>
      </w:r>
      <w:r>
        <w:t xml:space="preserve">result in </w:t>
      </w:r>
      <w:r w:rsidRPr="00F3313A">
        <w:t>timely filing issues (</w:t>
      </w:r>
      <w:r w:rsidR="00976A4D">
        <w:t xml:space="preserve">if </w:t>
      </w:r>
      <w:r w:rsidRPr="00F3313A">
        <w:t>forgotten</w:t>
      </w:r>
      <w:r>
        <w:t>).</w:t>
      </w:r>
      <w:r w:rsidRPr="00F3313A">
        <w:t xml:space="preserve">  The only </w:t>
      </w:r>
      <w:r w:rsidR="00976A4D">
        <w:t xml:space="preserve">impact </w:t>
      </w:r>
      <w:r w:rsidRPr="00F3313A">
        <w:t>is the additional 20% of charges</w:t>
      </w:r>
      <w:r>
        <w:t>,</w:t>
      </w:r>
      <w:r w:rsidRPr="00F3313A">
        <w:t xml:space="preserve"> so the process of holding claims or going back to attach charges </w:t>
      </w:r>
      <w:r w:rsidR="00976A4D">
        <w:t>may not be worthwhile</w:t>
      </w:r>
      <w:r w:rsidRPr="00F3313A">
        <w:t>.</w:t>
      </w:r>
    </w:p>
    <w:p w:rsidR="004C677C" w:rsidRDefault="004C677C" w:rsidP="00F3313A"/>
    <w:p w:rsidR="004C677C" w:rsidRDefault="004C677C" w:rsidP="00F3313A">
      <w:r>
        <w:t>Part D vaccine</w:t>
      </w:r>
      <w:r w:rsidRPr="004C677C">
        <w:t xml:space="preserve"> administration is bundled into th</w:t>
      </w:r>
      <w:r>
        <w:t>at</w:t>
      </w:r>
      <w:r w:rsidRPr="004C677C">
        <w:t xml:space="preserve"> D benefit</w:t>
      </w:r>
      <w:r>
        <w:t xml:space="preserve"> and is not chargeable to the RHC cost report.</w:t>
      </w:r>
      <w:r w:rsidR="00350D66">
        <w:t xml:space="preserve">  For Part D billing, visit </w:t>
      </w:r>
      <w:hyperlink r:id="rId32" w:history="1">
        <w:r w:rsidR="00350D66" w:rsidRPr="00350D66">
          <w:rPr>
            <w:rStyle w:val="Hyperlink"/>
          </w:rPr>
          <w:t>www.mytrnsactrx.com</w:t>
        </w:r>
      </w:hyperlink>
      <w:r w:rsidR="00350D66">
        <w:t>.</w:t>
      </w:r>
    </w:p>
    <w:p w:rsidR="008228BF" w:rsidRDefault="008228BF"/>
    <w:p w:rsidR="000320CF" w:rsidRPr="000320CF" w:rsidRDefault="000320CF">
      <w:pPr>
        <w:rPr>
          <w:b/>
        </w:rPr>
      </w:pPr>
      <w:r w:rsidRPr="000320CF">
        <w:rPr>
          <w:b/>
        </w:rPr>
        <w:t>Mental Health Services</w:t>
      </w:r>
    </w:p>
    <w:p w:rsidR="000320CF" w:rsidRPr="000320CF" w:rsidRDefault="00073611" w:rsidP="000320CF">
      <w:r>
        <w:t>On</w:t>
      </w:r>
      <w:r w:rsidR="000320CF">
        <w:t xml:space="preserve">ly </w:t>
      </w:r>
      <w:r>
        <w:t xml:space="preserve">a </w:t>
      </w:r>
      <w:r w:rsidR="000320CF" w:rsidRPr="000320CF">
        <w:t xml:space="preserve">PhD level </w:t>
      </w:r>
      <w:r>
        <w:t xml:space="preserve">Clinical </w:t>
      </w:r>
      <w:r w:rsidR="000320CF" w:rsidRPr="000320CF">
        <w:t>Psychologist</w:t>
      </w:r>
      <w:r>
        <w:t xml:space="preserve">, </w:t>
      </w:r>
      <w:r w:rsidR="000320CF" w:rsidRPr="000320CF">
        <w:t>Masters Level Clinical Social Worker</w:t>
      </w:r>
      <w:r>
        <w:t xml:space="preserve">, </w:t>
      </w:r>
      <w:r w:rsidR="007A13E1">
        <w:t xml:space="preserve">or </w:t>
      </w:r>
      <w:r>
        <w:t xml:space="preserve">an MD, DO, NP, or PA within his/her scope of practice may </w:t>
      </w:r>
      <w:r w:rsidR="007A13E1">
        <w:t xml:space="preserve">provide </w:t>
      </w:r>
      <w:r>
        <w:t>RHC mental health encounters</w:t>
      </w:r>
      <w:r w:rsidR="000320CF" w:rsidRPr="000320CF">
        <w:t>.</w:t>
      </w:r>
      <w:r w:rsidR="000320CF">
        <w:t xml:space="preserve">  </w:t>
      </w:r>
      <w:r w:rsidR="000320CF" w:rsidRPr="000320CF">
        <w:t xml:space="preserve">Counselors </w:t>
      </w:r>
      <w:r>
        <w:t>may not</w:t>
      </w:r>
      <w:r w:rsidR="000320CF">
        <w:t>,</w:t>
      </w:r>
      <w:r w:rsidR="000320CF" w:rsidRPr="000320CF">
        <w:t xml:space="preserve"> even though th</w:t>
      </w:r>
      <w:r w:rsidR="000320CF">
        <w:t>e</w:t>
      </w:r>
      <w:r w:rsidR="000320CF" w:rsidRPr="000320CF">
        <w:t>y may be recognized and licensed by the state.</w:t>
      </w:r>
    </w:p>
    <w:p w:rsidR="00E64543" w:rsidRDefault="00E64543"/>
    <w:p w:rsidR="00073611" w:rsidRPr="00073611" w:rsidRDefault="00073611" w:rsidP="00073611">
      <w:r>
        <w:t xml:space="preserve">The </w:t>
      </w:r>
      <w:r w:rsidRPr="00073611">
        <w:t xml:space="preserve">mental health </w:t>
      </w:r>
      <w:r>
        <w:t xml:space="preserve">payment differential </w:t>
      </w:r>
      <w:r w:rsidRPr="00073611">
        <w:t xml:space="preserve">is being </w:t>
      </w:r>
      <w:hyperlink r:id="rId33" w:history="1">
        <w:r w:rsidRPr="007A13E1">
          <w:rPr>
            <w:rStyle w:val="Hyperlink"/>
          </w:rPr>
          <w:t>phased out over a five year period</w:t>
        </w:r>
      </w:hyperlink>
      <w:r w:rsidRPr="00073611">
        <w:t xml:space="preserve">. </w:t>
      </w:r>
      <w:r>
        <w:t xml:space="preserve">Medicare payment to a </w:t>
      </w:r>
      <w:r w:rsidRPr="00073611">
        <w:t xml:space="preserve">clinic </w:t>
      </w:r>
      <w:r>
        <w:t>is reduced by a percentage of the usual charge,</w:t>
      </w:r>
      <w:r w:rsidRPr="00073611">
        <w:t xml:space="preserve"> </w:t>
      </w:r>
      <w:r>
        <w:t>which is then billed to the beneficiary as additional coinsurance</w:t>
      </w:r>
      <w:r w:rsidR="007A13E1">
        <w:t>.</w:t>
      </w:r>
      <w:r>
        <w:t xml:space="preserve">  </w:t>
      </w:r>
      <w:r w:rsidRPr="00073611">
        <w:t>The limitation will change as follows: 2013=81.25</w:t>
      </w:r>
      <w:r>
        <w:t>%</w:t>
      </w:r>
      <w:r w:rsidRPr="00073611">
        <w:t>; and 2014 and onward=100</w:t>
      </w:r>
      <w:r>
        <w:t>%</w:t>
      </w:r>
      <w:r w:rsidRPr="00073611">
        <w:t>.</w:t>
      </w:r>
    </w:p>
    <w:p w:rsidR="00073611" w:rsidRDefault="00073611"/>
    <w:p w:rsidR="004636E7" w:rsidRPr="00624F62" w:rsidRDefault="00624F62" w:rsidP="00B31D0C">
      <w:pPr>
        <w:rPr>
          <w:b/>
        </w:rPr>
      </w:pPr>
      <w:r w:rsidRPr="00624F62">
        <w:rPr>
          <w:b/>
        </w:rPr>
        <w:t>Interim Payment Rate for New RHCs</w:t>
      </w:r>
    </w:p>
    <w:p w:rsidR="00624F62" w:rsidRPr="00624F62" w:rsidRDefault="00624F62" w:rsidP="00624F62">
      <w:r w:rsidRPr="00624F62">
        <w:t>Chapter 9, Section 20.2 of the CMS Claims Processing Manual states:  “If the RHC/FQHC is in the initial reporting period, the all-inclusive rate is determined on the basis of a budget the RHC/FQHC submits. The budget estimates the allowable cost to be incurred by the RHC/FQHC during the reporting period and the number of visits for RHC/FQHC services expected during the reporting period. RHCs/FQHCs supply this information using Form CMS-222-92. In determining the payment rate for new RHCs/FQHCs and for those who have submitted cost reports, the FI applies screening guidelines and the maximum payment per visit limitation as described in §20.4.“</w:t>
      </w:r>
      <w:r w:rsidR="00003C1A">
        <w:t xml:space="preserve">  T</w:t>
      </w:r>
      <w:r w:rsidRPr="00624F62">
        <w:t xml:space="preserve">he </w:t>
      </w:r>
      <w:r w:rsidR="00003C1A">
        <w:t xml:space="preserve">payment limit is </w:t>
      </w:r>
      <w:r w:rsidR="00003C1A" w:rsidRPr="00003C1A">
        <w:rPr>
          <w:u w:val="single"/>
        </w:rPr>
        <w:t>not</w:t>
      </w:r>
      <w:r w:rsidR="00003C1A">
        <w:t xml:space="preserve"> </w:t>
      </w:r>
      <w:r w:rsidRPr="00624F62">
        <w:t>used to set the initial rate</w:t>
      </w:r>
      <w:r w:rsidR="00AD1559">
        <w:t>.</w:t>
      </w:r>
    </w:p>
    <w:p w:rsidR="00A873E2" w:rsidRPr="00A873E2" w:rsidRDefault="00A873E2" w:rsidP="00B31D0C">
      <w:pPr>
        <w:rPr>
          <w:rFonts w:cstheme="minorHAnsi"/>
        </w:rPr>
      </w:pPr>
    </w:p>
    <w:p w:rsidR="00A873E2" w:rsidRPr="00320620" w:rsidRDefault="00A873E2" w:rsidP="00A873E2">
      <w:pPr>
        <w:pStyle w:val="PlainText"/>
        <w:rPr>
          <w:rFonts w:asciiTheme="minorHAnsi" w:hAnsiTheme="minorHAnsi" w:cstheme="minorHAnsi"/>
          <w:b/>
          <w:sz w:val="22"/>
          <w:szCs w:val="22"/>
        </w:rPr>
      </w:pPr>
      <w:r w:rsidRPr="00320620">
        <w:rPr>
          <w:rFonts w:asciiTheme="minorHAnsi" w:hAnsiTheme="minorHAnsi" w:cstheme="minorHAnsi"/>
          <w:b/>
          <w:sz w:val="22"/>
          <w:szCs w:val="22"/>
        </w:rPr>
        <w:t>Non-RHC Services/Comingling</w:t>
      </w:r>
      <w:r w:rsidR="00320620">
        <w:rPr>
          <w:rFonts w:asciiTheme="minorHAnsi" w:hAnsiTheme="minorHAnsi" w:cstheme="minorHAnsi"/>
          <w:b/>
          <w:sz w:val="22"/>
          <w:szCs w:val="22"/>
        </w:rPr>
        <w:t xml:space="preserve"> Prohibition</w:t>
      </w:r>
    </w:p>
    <w:p w:rsidR="00A873E2" w:rsidRPr="00320620" w:rsidRDefault="00A873E2" w:rsidP="00A873E2">
      <w:pPr>
        <w:pStyle w:val="PlainText"/>
        <w:rPr>
          <w:rFonts w:asciiTheme="minorHAnsi" w:hAnsiTheme="minorHAnsi" w:cstheme="minorHAnsi"/>
          <w:sz w:val="22"/>
          <w:szCs w:val="22"/>
        </w:rPr>
      </w:pPr>
      <w:r w:rsidRPr="00320620">
        <w:rPr>
          <w:rFonts w:asciiTheme="minorHAnsi" w:hAnsiTheme="minorHAnsi" w:cstheme="minorHAnsi"/>
          <w:sz w:val="22"/>
          <w:szCs w:val="22"/>
        </w:rPr>
        <w:t xml:space="preserve">Offering </w:t>
      </w:r>
      <w:r w:rsidR="00F0087A" w:rsidRPr="00320620">
        <w:rPr>
          <w:rFonts w:asciiTheme="minorHAnsi" w:hAnsiTheme="minorHAnsi" w:cstheme="minorHAnsi"/>
          <w:sz w:val="22"/>
          <w:szCs w:val="22"/>
        </w:rPr>
        <w:t xml:space="preserve">non-RHC </w:t>
      </w:r>
      <w:r w:rsidRPr="00320620">
        <w:rPr>
          <w:rFonts w:asciiTheme="minorHAnsi" w:hAnsiTheme="minorHAnsi" w:cstheme="minorHAnsi"/>
          <w:sz w:val="22"/>
          <w:szCs w:val="22"/>
        </w:rPr>
        <w:t xml:space="preserve">services inside the four walls of </w:t>
      </w:r>
      <w:r w:rsidR="00320620">
        <w:rPr>
          <w:rFonts w:asciiTheme="minorHAnsi" w:hAnsiTheme="minorHAnsi" w:cstheme="minorHAnsi"/>
          <w:sz w:val="22"/>
          <w:szCs w:val="22"/>
        </w:rPr>
        <w:t>an</w:t>
      </w:r>
      <w:r w:rsidRPr="00320620">
        <w:rPr>
          <w:rFonts w:asciiTheme="minorHAnsi" w:hAnsiTheme="minorHAnsi" w:cstheme="minorHAnsi"/>
          <w:sz w:val="22"/>
          <w:szCs w:val="22"/>
        </w:rPr>
        <w:t xml:space="preserve"> RHC </w:t>
      </w:r>
      <w:r w:rsidR="00F0087A" w:rsidRPr="00320620">
        <w:rPr>
          <w:rFonts w:asciiTheme="minorHAnsi" w:hAnsiTheme="minorHAnsi" w:cstheme="minorHAnsi"/>
          <w:sz w:val="22"/>
          <w:szCs w:val="22"/>
        </w:rPr>
        <w:t xml:space="preserve">is </w:t>
      </w:r>
      <w:r w:rsidRPr="00320620">
        <w:rPr>
          <w:rFonts w:asciiTheme="minorHAnsi" w:hAnsiTheme="minorHAnsi" w:cstheme="minorHAnsi"/>
          <w:sz w:val="22"/>
          <w:szCs w:val="22"/>
        </w:rPr>
        <w:t>permissible</w:t>
      </w:r>
      <w:r w:rsidR="00F0087A" w:rsidRPr="00320620">
        <w:rPr>
          <w:rFonts w:asciiTheme="minorHAnsi" w:hAnsiTheme="minorHAnsi" w:cstheme="minorHAnsi"/>
          <w:sz w:val="22"/>
          <w:szCs w:val="22"/>
        </w:rPr>
        <w:t>,</w:t>
      </w:r>
      <w:r w:rsidRPr="00320620">
        <w:rPr>
          <w:rFonts w:asciiTheme="minorHAnsi" w:hAnsiTheme="minorHAnsi" w:cstheme="minorHAnsi"/>
          <w:sz w:val="22"/>
          <w:szCs w:val="22"/>
        </w:rPr>
        <w:t xml:space="preserve"> but </w:t>
      </w:r>
      <w:r w:rsidR="00F0087A" w:rsidRPr="00320620">
        <w:rPr>
          <w:rFonts w:asciiTheme="minorHAnsi" w:hAnsiTheme="minorHAnsi" w:cstheme="minorHAnsi"/>
          <w:sz w:val="22"/>
          <w:szCs w:val="22"/>
        </w:rPr>
        <w:t>comingling must not occur</w:t>
      </w:r>
      <w:r w:rsidR="00F219D2" w:rsidRPr="00320620">
        <w:rPr>
          <w:rFonts w:asciiTheme="minorHAnsi" w:hAnsiTheme="minorHAnsi" w:cstheme="minorHAnsi"/>
          <w:sz w:val="22"/>
          <w:szCs w:val="22"/>
        </w:rPr>
        <w:t xml:space="preserve"> (i.e., operating a Part B practice and RHC simultaneously</w:t>
      </w:r>
      <w:r w:rsidR="00320620" w:rsidRPr="00320620">
        <w:rPr>
          <w:rFonts w:asciiTheme="minorHAnsi" w:hAnsiTheme="minorHAnsi" w:cstheme="minorHAnsi"/>
          <w:sz w:val="22"/>
          <w:szCs w:val="22"/>
        </w:rPr>
        <w:t xml:space="preserve">, which can lead to </w:t>
      </w:r>
      <w:r w:rsidR="00F219D2" w:rsidRPr="00320620">
        <w:rPr>
          <w:rFonts w:asciiTheme="minorHAnsi" w:hAnsiTheme="minorHAnsi" w:cstheme="minorHAnsi"/>
          <w:sz w:val="22"/>
          <w:szCs w:val="22"/>
        </w:rPr>
        <w:t xml:space="preserve">billing according to highest reimbursement and/or </w:t>
      </w:r>
      <w:r w:rsidR="00320620" w:rsidRPr="00320620">
        <w:rPr>
          <w:rFonts w:asciiTheme="minorHAnsi" w:hAnsiTheme="minorHAnsi" w:cstheme="minorHAnsi"/>
          <w:sz w:val="22"/>
          <w:szCs w:val="22"/>
        </w:rPr>
        <w:t xml:space="preserve">receiving duplicate payment by including expenses </w:t>
      </w:r>
      <w:r w:rsidR="00F219D2" w:rsidRPr="00320620">
        <w:rPr>
          <w:rFonts w:asciiTheme="minorHAnsi" w:hAnsiTheme="minorHAnsi" w:cstheme="minorHAnsi"/>
          <w:sz w:val="22"/>
          <w:szCs w:val="22"/>
        </w:rPr>
        <w:t xml:space="preserve">on </w:t>
      </w:r>
      <w:r w:rsidR="00320620" w:rsidRPr="00320620">
        <w:rPr>
          <w:rFonts w:asciiTheme="minorHAnsi" w:hAnsiTheme="minorHAnsi" w:cstheme="minorHAnsi"/>
          <w:sz w:val="22"/>
          <w:szCs w:val="22"/>
        </w:rPr>
        <w:t xml:space="preserve">the </w:t>
      </w:r>
      <w:r w:rsidR="00F219D2" w:rsidRPr="00320620">
        <w:rPr>
          <w:rFonts w:asciiTheme="minorHAnsi" w:hAnsiTheme="minorHAnsi" w:cstheme="minorHAnsi"/>
          <w:sz w:val="22"/>
          <w:szCs w:val="22"/>
        </w:rPr>
        <w:t xml:space="preserve">cost report </w:t>
      </w:r>
      <w:r w:rsidR="00320620" w:rsidRPr="00320620">
        <w:rPr>
          <w:rFonts w:asciiTheme="minorHAnsi" w:hAnsiTheme="minorHAnsi" w:cstheme="minorHAnsi"/>
          <w:sz w:val="22"/>
          <w:szCs w:val="22"/>
        </w:rPr>
        <w:t xml:space="preserve">that are also factored into </w:t>
      </w:r>
      <w:r w:rsidR="00D622A4">
        <w:rPr>
          <w:rFonts w:asciiTheme="minorHAnsi" w:hAnsiTheme="minorHAnsi" w:cstheme="minorHAnsi"/>
          <w:sz w:val="22"/>
          <w:szCs w:val="22"/>
        </w:rPr>
        <w:t>fee schedule payments</w:t>
      </w:r>
      <w:r w:rsidR="00F219D2" w:rsidRPr="00320620">
        <w:rPr>
          <w:rFonts w:asciiTheme="minorHAnsi" w:hAnsiTheme="minorHAnsi" w:cstheme="minorHAnsi"/>
          <w:sz w:val="22"/>
          <w:szCs w:val="22"/>
        </w:rPr>
        <w:t>)</w:t>
      </w:r>
      <w:r w:rsidRPr="00320620">
        <w:rPr>
          <w:rFonts w:asciiTheme="minorHAnsi" w:hAnsiTheme="minorHAnsi" w:cstheme="minorHAnsi"/>
          <w:sz w:val="22"/>
          <w:szCs w:val="22"/>
        </w:rPr>
        <w:t>.</w:t>
      </w:r>
    </w:p>
    <w:p w:rsidR="00A873E2" w:rsidRPr="00320620" w:rsidRDefault="00A873E2" w:rsidP="00A873E2">
      <w:pPr>
        <w:pStyle w:val="PlainText"/>
        <w:rPr>
          <w:rFonts w:asciiTheme="minorHAnsi" w:hAnsiTheme="minorHAnsi" w:cstheme="minorHAnsi"/>
          <w:sz w:val="22"/>
          <w:szCs w:val="22"/>
        </w:rPr>
      </w:pPr>
    </w:p>
    <w:p w:rsidR="00A873E2" w:rsidRPr="00320620" w:rsidRDefault="00A873E2" w:rsidP="00A873E2">
      <w:pPr>
        <w:pStyle w:val="PlainText"/>
        <w:rPr>
          <w:rFonts w:asciiTheme="minorHAnsi" w:hAnsiTheme="minorHAnsi" w:cstheme="minorHAnsi"/>
          <w:sz w:val="22"/>
          <w:szCs w:val="22"/>
        </w:rPr>
      </w:pPr>
      <w:r w:rsidRPr="00320620">
        <w:rPr>
          <w:rFonts w:asciiTheme="minorHAnsi" w:hAnsiTheme="minorHAnsi" w:cstheme="minorHAnsi"/>
          <w:sz w:val="22"/>
          <w:szCs w:val="22"/>
        </w:rPr>
        <w:t xml:space="preserve">RHCs </w:t>
      </w:r>
      <w:r w:rsidR="00F0087A" w:rsidRPr="00320620">
        <w:rPr>
          <w:rFonts w:asciiTheme="minorHAnsi" w:hAnsiTheme="minorHAnsi" w:cstheme="minorHAnsi"/>
          <w:sz w:val="22"/>
          <w:szCs w:val="22"/>
        </w:rPr>
        <w:t xml:space="preserve">may host </w:t>
      </w:r>
      <w:r w:rsidRPr="00320620">
        <w:rPr>
          <w:rFonts w:asciiTheme="minorHAnsi" w:hAnsiTheme="minorHAnsi" w:cstheme="minorHAnsi"/>
          <w:sz w:val="22"/>
          <w:szCs w:val="22"/>
        </w:rPr>
        <w:t xml:space="preserve">other providers </w:t>
      </w:r>
      <w:r w:rsidR="00F0087A" w:rsidRPr="00320620">
        <w:rPr>
          <w:rFonts w:asciiTheme="minorHAnsi" w:hAnsiTheme="minorHAnsi" w:cstheme="minorHAnsi"/>
          <w:sz w:val="22"/>
          <w:szCs w:val="22"/>
        </w:rPr>
        <w:t>(</w:t>
      </w:r>
      <w:r w:rsidR="00D622A4">
        <w:rPr>
          <w:rFonts w:asciiTheme="minorHAnsi" w:hAnsiTheme="minorHAnsi" w:cstheme="minorHAnsi"/>
          <w:sz w:val="22"/>
          <w:szCs w:val="22"/>
        </w:rPr>
        <w:t xml:space="preserve">e.g., </w:t>
      </w:r>
      <w:r w:rsidR="00F0087A" w:rsidRPr="00320620">
        <w:rPr>
          <w:rFonts w:asciiTheme="minorHAnsi" w:hAnsiTheme="minorHAnsi" w:cstheme="minorHAnsi"/>
          <w:sz w:val="22"/>
          <w:szCs w:val="22"/>
        </w:rPr>
        <w:t>specialist</w:t>
      </w:r>
      <w:r w:rsidR="00D622A4">
        <w:rPr>
          <w:rFonts w:asciiTheme="minorHAnsi" w:hAnsiTheme="minorHAnsi" w:cstheme="minorHAnsi"/>
          <w:sz w:val="22"/>
          <w:szCs w:val="22"/>
        </w:rPr>
        <w:t>s</w:t>
      </w:r>
      <w:r w:rsidR="00F0087A" w:rsidRPr="00320620">
        <w:rPr>
          <w:rFonts w:asciiTheme="minorHAnsi" w:hAnsiTheme="minorHAnsi" w:cstheme="minorHAnsi"/>
          <w:sz w:val="22"/>
          <w:szCs w:val="22"/>
        </w:rPr>
        <w:t xml:space="preserve">) </w:t>
      </w:r>
      <w:r w:rsidRPr="00320620">
        <w:rPr>
          <w:rFonts w:asciiTheme="minorHAnsi" w:hAnsiTheme="minorHAnsi" w:cstheme="minorHAnsi"/>
          <w:sz w:val="22"/>
          <w:szCs w:val="22"/>
        </w:rPr>
        <w:t xml:space="preserve">who deliver non-RHC services and bill </w:t>
      </w:r>
      <w:r w:rsidR="00D622A4" w:rsidRPr="00320620">
        <w:rPr>
          <w:rFonts w:asciiTheme="minorHAnsi" w:hAnsiTheme="minorHAnsi" w:cstheme="minorHAnsi"/>
          <w:sz w:val="22"/>
          <w:szCs w:val="22"/>
        </w:rPr>
        <w:t>independent</w:t>
      </w:r>
      <w:r w:rsidR="00D622A4">
        <w:rPr>
          <w:rFonts w:asciiTheme="minorHAnsi" w:hAnsiTheme="minorHAnsi" w:cstheme="minorHAnsi"/>
          <w:sz w:val="22"/>
          <w:szCs w:val="22"/>
        </w:rPr>
        <w:t>ly</w:t>
      </w:r>
      <w:r w:rsidR="00D622A4" w:rsidRPr="00320620">
        <w:rPr>
          <w:rFonts w:asciiTheme="minorHAnsi" w:hAnsiTheme="minorHAnsi" w:cstheme="minorHAnsi"/>
          <w:sz w:val="22"/>
          <w:szCs w:val="22"/>
        </w:rPr>
        <w:t xml:space="preserve"> </w:t>
      </w:r>
      <w:r w:rsidRPr="00320620">
        <w:rPr>
          <w:rFonts w:asciiTheme="minorHAnsi" w:hAnsiTheme="minorHAnsi" w:cstheme="minorHAnsi"/>
          <w:sz w:val="22"/>
          <w:szCs w:val="22"/>
        </w:rPr>
        <w:t xml:space="preserve">for </w:t>
      </w:r>
      <w:r w:rsidR="00F0087A" w:rsidRPr="00320620">
        <w:rPr>
          <w:rFonts w:asciiTheme="minorHAnsi" w:hAnsiTheme="minorHAnsi" w:cstheme="minorHAnsi"/>
          <w:sz w:val="22"/>
          <w:szCs w:val="22"/>
        </w:rPr>
        <w:t xml:space="preserve">their </w:t>
      </w:r>
      <w:r w:rsidRPr="00320620">
        <w:rPr>
          <w:rFonts w:asciiTheme="minorHAnsi" w:hAnsiTheme="minorHAnsi" w:cstheme="minorHAnsi"/>
          <w:sz w:val="22"/>
          <w:szCs w:val="22"/>
        </w:rPr>
        <w:t>services</w:t>
      </w:r>
      <w:r w:rsidR="00F0087A" w:rsidRPr="00320620">
        <w:rPr>
          <w:rFonts w:asciiTheme="minorHAnsi" w:hAnsiTheme="minorHAnsi" w:cstheme="minorHAnsi"/>
          <w:sz w:val="22"/>
          <w:szCs w:val="22"/>
        </w:rPr>
        <w:t>.</w:t>
      </w:r>
      <w:r w:rsidR="00F219D2" w:rsidRPr="00320620">
        <w:rPr>
          <w:rFonts w:asciiTheme="minorHAnsi" w:hAnsiTheme="minorHAnsi" w:cstheme="minorHAnsi"/>
          <w:sz w:val="22"/>
          <w:szCs w:val="22"/>
        </w:rPr>
        <w:t xml:space="preserve">  In such cases, i</w:t>
      </w:r>
      <w:r w:rsidR="00F0087A" w:rsidRPr="00320620">
        <w:rPr>
          <w:rFonts w:asciiTheme="minorHAnsi" w:hAnsiTheme="minorHAnsi" w:cstheme="minorHAnsi"/>
          <w:sz w:val="22"/>
          <w:szCs w:val="22"/>
        </w:rPr>
        <w:t xml:space="preserve">ssues that must be addressed include whether </w:t>
      </w:r>
      <w:r w:rsidRPr="00320620">
        <w:rPr>
          <w:rFonts w:asciiTheme="minorHAnsi" w:hAnsiTheme="minorHAnsi" w:cstheme="minorHAnsi"/>
          <w:sz w:val="22"/>
          <w:szCs w:val="22"/>
        </w:rPr>
        <w:t xml:space="preserve">the </w:t>
      </w:r>
      <w:r w:rsidR="00F0087A" w:rsidRPr="00320620">
        <w:rPr>
          <w:rFonts w:asciiTheme="minorHAnsi" w:hAnsiTheme="minorHAnsi" w:cstheme="minorHAnsi"/>
          <w:sz w:val="22"/>
          <w:szCs w:val="22"/>
        </w:rPr>
        <w:t xml:space="preserve">provider’s </w:t>
      </w:r>
      <w:r w:rsidRPr="00320620">
        <w:rPr>
          <w:rFonts w:asciiTheme="minorHAnsi" w:hAnsiTheme="minorHAnsi" w:cstheme="minorHAnsi"/>
          <w:sz w:val="22"/>
          <w:szCs w:val="22"/>
        </w:rPr>
        <w:t xml:space="preserve">services </w:t>
      </w:r>
      <w:r w:rsidR="00F219D2" w:rsidRPr="00320620">
        <w:rPr>
          <w:rFonts w:asciiTheme="minorHAnsi" w:hAnsiTheme="minorHAnsi" w:cstheme="minorHAnsi"/>
          <w:sz w:val="22"/>
          <w:szCs w:val="22"/>
        </w:rPr>
        <w:t>are</w:t>
      </w:r>
      <w:r w:rsidRPr="00320620">
        <w:rPr>
          <w:rFonts w:asciiTheme="minorHAnsi" w:hAnsiTheme="minorHAnsi" w:cstheme="minorHAnsi"/>
          <w:sz w:val="22"/>
          <w:szCs w:val="22"/>
        </w:rPr>
        <w:t xml:space="preserve"> </w:t>
      </w:r>
      <w:r w:rsidR="00F0087A" w:rsidRPr="00320620">
        <w:rPr>
          <w:rFonts w:asciiTheme="minorHAnsi" w:hAnsiTheme="minorHAnsi" w:cstheme="minorHAnsi"/>
          <w:sz w:val="22"/>
          <w:szCs w:val="22"/>
        </w:rPr>
        <w:t xml:space="preserve">supported </w:t>
      </w:r>
      <w:r w:rsidRPr="00320620">
        <w:rPr>
          <w:rFonts w:asciiTheme="minorHAnsi" w:hAnsiTheme="minorHAnsi" w:cstheme="minorHAnsi"/>
          <w:sz w:val="22"/>
          <w:szCs w:val="22"/>
        </w:rPr>
        <w:t>by RHC staff</w:t>
      </w:r>
      <w:r w:rsidR="00F0087A" w:rsidRPr="00320620">
        <w:rPr>
          <w:rFonts w:asciiTheme="minorHAnsi" w:hAnsiTheme="minorHAnsi" w:cstheme="minorHAnsi"/>
          <w:sz w:val="22"/>
          <w:szCs w:val="22"/>
        </w:rPr>
        <w:t xml:space="preserve"> </w:t>
      </w:r>
      <w:r w:rsidR="00F219D2" w:rsidRPr="00320620">
        <w:rPr>
          <w:rFonts w:asciiTheme="minorHAnsi" w:hAnsiTheme="minorHAnsi" w:cstheme="minorHAnsi"/>
          <w:sz w:val="22"/>
          <w:szCs w:val="22"/>
        </w:rPr>
        <w:t>(admin</w:t>
      </w:r>
      <w:r w:rsidR="00D622A4">
        <w:rPr>
          <w:rFonts w:asciiTheme="minorHAnsi" w:hAnsiTheme="minorHAnsi" w:cstheme="minorHAnsi"/>
          <w:sz w:val="22"/>
          <w:szCs w:val="22"/>
        </w:rPr>
        <w:t>,</w:t>
      </w:r>
      <w:r w:rsidR="00F219D2" w:rsidRPr="00320620">
        <w:rPr>
          <w:rFonts w:asciiTheme="minorHAnsi" w:hAnsiTheme="minorHAnsi" w:cstheme="minorHAnsi"/>
          <w:sz w:val="22"/>
          <w:szCs w:val="22"/>
        </w:rPr>
        <w:t xml:space="preserve"> clinical) </w:t>
      </w:r>
      <w:r w:rsidR="00F0087A" w:rsidRPr="00320620">
        <w:rPr>
          <w:rFonts w:asciiTheme="minorHAnsi" w:hAnsiTheme="minorHAnsi" w:cstheme="minorHAnsi"/>
          <w:sz w:val="22"/>
          <w:szCs w:val="22"/>
        </w:rPr>
        <w:t xml:space="preserve">and the value of the </w:t>
      </w:r>
      <w:r w:rsidRPr="00320620">
        <w:rPr>
          <w:rFonts w:asciiTheme="minorHAnsi" w:hAnsiTheme="minorHAnsi" w:cstheme="minorHAnsi"/>
          <w:sz w:val="22"/>
          <w:szCs w:val="22"/>
        </w:rPr>
        <w:t>space</w:t>
      </w:r>
      <w:r w:rsidR="00F0087A" w:rsidRPr="00320620">
        <w:rPr>
          <w:rFonts w:asciiTheme="minorHAnsi" w:hAnsiTheme="minorHAnsi" w:cstheme="minorHAnsi"/>
          <w:sz w:val="22"/>
          <w:szCs w:val="22"/>
        </w:rPr>
        <w:t xml:space="preserve"> utilized</w:t>
      </w:r>
      <w:r w:rsidR="00F219D2" w:rsidRPr="00320620">
        <w:rPr>
          <w:rFonts w:asciiTheme="minorHAnsi" w:hAnsiTheme="minorHAnsi" w:cstheme="minorHAnsi"/>
          <w:sz w:val="22"/>
          <w:szCs w:val="22"/>
        </w:rPr>
        <w:t xml:space="preserve"> (market rent or </w:t>
      </w:r>
      <w:r w:rsidRPr="00320620">
        <w:rPr>
          <w:rFonts w:asciiTheme="minorHAnsi" w:hAnsiTheme="minorHAnsi" w:cstheme="minorHAnsi"/>
          <w:sz w:val="22"/>
          <w:szCs w:val="22"/>
        </w:rPr>
        <w:t>overhead costs</w:t>
      </w:r>
      <w:r w:rsidR="00320620" w:rsidRPr="00320620">
        <w:rPr>
          <w:rFonts w:asciiTheme="minorHAnsi" w:hAnsiTheme="minorHAnsi" w:cstheme="minorHAnsi"/>
          <w:sz w:val="22"/>
          <w:szCs w:val="22"/>
        </w:rPr>
        <w:t>)</w:t>
      </w:r>
      <w:r w:rsidRPr="00320620">
        <w:rPr>
          <w:rFonts w:asciiTheme="minorHAnsi" w:hAnsiTheme="minorHAnsi" w:cstheme="minorHAnsi"/>
          <w:sz w:val="22"/>
          <w:szCs w:val="22"/>
        </w:rPr>
        <w:t>.</w:t>
      </w:r>
      <w:r w:rsidR="00320620" w:rsidRPr="00320620">
        <w:rPr>
          <w:rFonts w:asciiTheme="minorHAnsi" w:hAnsiTheme="minorHAnsi" w:cstheme="minorHAnsi"/>
          <w:sz w:val="22"/>
          <w:szCs w:val="22"/>
        </w:rPr>
        <w:t xml:space="preserve">  </w:t>
      </w:r>
      <w:r w:rsidRPr="00320620">
        <w:rPr>
          <w:rFonts w:asciiTheme="minorHAnsi" w:hAnsiTheme="minorHAnsi" w:cstheme="minorHAnsi"/>
          <w:sz w:val="22"/>
          <w:szCs w:val="22"/>
        </w:rPr>
        <w:t xml:space="preserve">Because the RHC is paid on a cost basis, the </w:t>
      </w:r>
      <w:r w:rsidR="00320620" w:rsidRPr="00320620">
        <w:rPr>
          <w:rFonts w:asciiTheme="minorHAnsi" w:hAnsiTheme="minorHAnsi" w:cstheme="minorHAnsi"/>
          <w:sz w:val="22"/>
          <w:szCs w:val="22"/>
        </w:rPr>
        <w:t xml:space="preserve">value of </w:t>
      </w:r>
      <w:r w:rsidRPr="00320620">
        <w:rPr>
          <w:rFonts w:asciiTheme="minorHAnsi" w:hAnsiTheme="minorHAnsi" w:cstheme="minorHAnsi"/>
          <w:sz w:val="22"/>
          <w:szCs w:val="22"/>
        </w:rPr>
        <w:t>support staff</w:t>
      </w:r>
      <w:r w:rsidR="00320620" w:rsidRPr="00320620">
        <w:rPr>
          <w:rFonts w:asciiTheme="minorHAnsi" w:hAnsiTheme="minorHAnsi" w:cstheme="minorHAnsi"/>
          <w:sz w:val="22"/>
          <w:szCs w:val="22"/>
        </w:rPr>
        <w:t xml:space="preserve">, </w:t>
      </w:r>
      <w:r w:rsidRPr="00320620">
        <w:rPr>
          <w:rFonts w:asciiTheme="minorHAnsi" w:hAnsiTheme="minorHAnsi" w:cstheme="minorHAnsi"/>
          <w:sz w:val="22"/>
          <w:szCs w:val="22"/>
        </w:rPr>
        <w:t>office space</w:t>
      </w:r>
      <w:r w:rsidR="00320620" w:rsidRPr="00320620">
        <w:rPr>
          <w:rFonts w:asciiTheme="minorHAnsi" w:hAnsiTheme="minorHAnsi" w:cstheme="minorHAnsi"/>
          <w:sz w:val="22"/>
          <w:szCs w:val="22"/>
        </w:rPr>
        <w:t xml:space="preserve">, etc., utilized by the outside provider must be carved out </w:t>
      </w:r>
      <w:r w:rsidRPr="00320620">
        <w:rPr>
          <w:rFonts w:asciiTheme="minorHAnsi" w:hAnsiTheme="minorHAnsi" w:cstheme="minorHAnsi"/>
          <w:sz w:val="22"/>
          <w:szCs w:val="22"/>
        </w:rPr>
        <w:t xml:space="preserve">on </w:t>
      </w:r>
      <w:r w:rsidR="00320620" w:rsidRPr="00320620">
        <w:rPr>
          <w:rFonts w:asciiTheme="minorHAnsi" w:hAnsiTheme="minorHAnsi" w:cstheme="minorHAnsi"/>
          <w:sz w:val="22"/>
          <w:szCs w:val="22"/>
        </w:rPr>
        <w:t xml:space="preserve">the </w:t>
      </w:r>
      <w:r w:rsidRPr="00320620">
        <w:rPr>
          <w:rFonts w:asciiTheme="minorHAnsi" w:hAnsiTheme="minorHAnsi" w:cstheme="minorHAnsi"/>
          <w:sz w:val="22"/>
          <w:szCs w:val="22"/>
        </w:rPr>
        <w:t>cost report</w:t>
      </w:r>
      <w:r w:rsidR="00320620" w:rsidRPr="00320620">
        <w:rPr>
          <w:rFonts w:asciiTheme="minorHAnsi" w:hAnsiTheme="minorHAnsi" w:cstheme="minorHAnsi"/>
          <w:sz w:val="22"/>
          <w:szCs w:val="22"/>
        </w:rPr>
        <w:t xml:space="preserve"> to avoid duplicate payment.</w:t>
      </w:r>
    </w:p>
    <w:p w:rsidR="00A873E2" w:rsidRDefault="00A873E2" w:rsidP="00B31D0C"/>
    <w:p w:rsidR="00003C1A" w:rsidRDefault="00003C1A" w:rsidP="0071475F">
      <w:pPr>
        <w:rPr>
          <w:b/>
        </w:rPr>
      </w:pPr>
      <w:r w:rsidRPr="0071475F">
        <w:rPr>
          <w:b/>
        </w:rPr>
        <w:t xml:space="preserve">Sliding Fee </w:t>
      </w:r>
      <w:r>
        <w:rPr>
          <w:b/>
        </w:rPr>
        <w:t>Schedule/</w:t>
      </w:r>
      <w:r w:rsidR="0071475F" w:rsidRPr="0071475F">
        <w:rPr>
          <w:b/>
        </w:rPr>
        <w:t>N</w:t>
      </w:r>
      <w:r w:rsidR="00424D7B">
        <w:rPr>
          <w:b/>
        </w:rPr>
        <w:t xml:space="preserve">ational </w:t>
      </w:r>
      <w:r w:rsidR="0071475F" w:rsidRPr="0071475F">
        <w:rPr>
          <w:b/>
        </w:rPr>
        <w:t>H</w:t>
      </w:r>
      <w:r w:rsidR="00424D7B">
        <w:rPr>
          <w:b/>
        </w:rPr>
        <w:t xml:space="preserve">ealth </w:t>
      </w:r>
      <w:r w:rsidR="0071475F" w:rsidRPr="0071475F">
        <w:rPr>
          <w:b/>
        </w:rPr>
        <w:t>S</w:t>
      </w:r>
      <w:r w:rsidR="00424D7B">
        <w:rPr>
          <w:b/>
        </w:rPr>
        <w:t xml:space="preserve">ervice </w:t>
      </w:r>
      <w:r w:rsidR="0071475F" w:rsidRPr="0071475F">
        <w:rPr>
          <w:b/>
        </w:rPr>
        <w:t>C</w:t>
      </w:r>
      <w:r w:rsidR="00424D7B">
        <w:rPr>
          <w:b/>
        </w:rPr>
        <w:t>orps</w:t>
      </w:r>
    </w:p>
    <w:p w:rsidR="00424D7B" w:rsidRDefault="00424D7B" w:rsidP="0071475F">
      <w:r>
        <w:t>RHCs are not required to have a sliding fee schedule</w:t>
      </w:r>
      <w:r w:rsidR="00003C1A">
        <w:t xml:space="preserve"> as a condition for certification under Medicare</w:t>
      </w:r>
      <w:r>
        <w:t>.</w:t>
      </w:r>
    </w:p>
    <w:p w:rsidR="00424D7B" w:rsidRDefault="00424D7B" w:rsidP="0071475F"/>
    <w:p w:rsidR="0071475F" w:rsidRPr="00424D7B" w:rsidRDefault="00424D7B" w:rsidP="0071475F">
      <w:r>
        <w:t>RHCs located in HPSAs are eligible to be become</w:t>
      </w:r>
      <w:r w:rsidR="0071475F" w:rsidRPr="0071475F">
        <w:t xml:space="preserve"> a </w:t>
      </w:r>
      <w:hyperlink r:id="rId34" w:history="1">
        <w:r w:rsidR="0071475F" w:rsidRPr="007A13E1">
          <w:rPr>
            <w:rStyle w:val="Hyperlink"/>
          </w:rPr>
          <w:t>National Health Service Corps site</w:t>
        </w:r>
      </w:hyperlink>
      <w:r w:rsidR="0071475F" w:rsidRPr="0071475F">
        <w:t xml:space="preserve">.  </w:t>
      </w:r>
      <w:r>
        <w:t>Approved sites are required to h</w:t>
      </w:r>
      <w:r w:rsidRPr="00424D7B">
        <w:t>av</w:t>
      </w:r>
      <w:r>
        <w:t>e</w:t>
      </w:r>
      <w:r w:rsidRPr="0071475F">
        <w:t xml:space="preserve"> a sliding fee scale</w:t>
      </w:r>
      <w:r>
        <w:t xml:space="preserve"> (based on documented income); accept Medicare, Medicaid, and CHIP patients; and see all patients </w:t>
      </w:r>
      <w:r>
        <w:lastRenderedPageBreak/>
        <w:t xml:space="preserve">regardless of ability to pay, among other requirements. (Note:  </w:t>
      </w:r>
      <w:r w:rsidR="00003C1A">
        <w:t>R</w:t>
      </w:r>
      <w:r>
        <w:t>efusal to pay is not the same as unable to pay.)  In return, RHCs may recruit clinicians who are eligible for NHSC loan repayment or scholarships.</w:t>
      </w:r>
    </w:p>
    <w:p w:rsidR="00775EF4" w:rsidRDefault="00775EF4" w:rsidP="00B31D0C"/>
    <w:p w:rsidR="00A64A35" w:rsidRPr="00A64A35" w:rsidRDefault="00A64A35" w:rsidP="00A64A35">
      <w:pPr>
        <w:rPr>
          <w:b/>
        </w:rPr>
      </w:pPr>
      <w:r w:rsidRPr="00A64A35">
        <w:rPr>
          <w:b/>
        </w:rPr>
        <w:t>Medicare Advantage Participation</w:t>
      </w:r>
    </w:p>
    <w:p w:rsidR="00A6529F" w:rsidRPr="00A6529F" w:rsidRDefault="00A6529F" w:rsidP="00A6529F">
      <w:r w:rsidRPr="00A6529F">
        <w:t xml:space="preserve">When a </w:t>
      </w:r>
      <w:r>
        <w:t xml:space="preserve">beneficiary </w:t>
      </w:r>
      <w:r w:rsidRPr="00A6529F">
        <w:t>enrolls in a Medicare Advantage (MA)</w:t>
      </w:r>
      <w:r>
        <w:t xml:space="preserve"> plan</w:t>
      </w:r>
      <w:r w:rsidRPr="00A6529F">
        <w:t>, they are no longer classified as a Medicare patient for cost</w:t>
      </w:r>
      <w:r>
        <w:t xml:space="preserve"> </w:t>
      </w:r>
      <w:r w:rsidRPr="00A6529F">
        <w:t>reporting purposes.  These individuals are effectively treated as privately insured in</w:t>
      </w:r>
      <w:r>
        <w:t>dividuals.</w:t>
      </w:r>
    </w:p>
    <w:p w:rsidR="00A6529F" w:rsidRDefault="00A6529F" w:rsidP="00A6529F"/>
    <w:p w:rsidR="00A6529F" w:rsidRPr="00A64A35" w:rsidRDefault="00A6529F" w:rsidP="00A6529F">
      <w:r w:rsidRPr="00A64A35">
        <w:t>MA plans must show that they have an "adequate"</w:t>
      </w:r>
      <w:r>
        <w:t xml:space="preserve"> </w:t>
      </w:r>
      <w:r w:rsidR="00C81388">
        <w:t xml:space="preserve">provider </w:t>
      </w:r>
      <w:r w:rsidRPr="00A64A35">
        <w:t xml:space="preserve">network in </w:t>
      </w:r>
      <w:r w:rsidR="00C81388">
        <w:t xml:space="preserve">each </w:t>
      </w:r>
      <w:r w:rsidRPr="00A64A35">
        <w:t>market</w:t>
      </w:r>
      <w:r w:rsidR="00C81388">
        <w:t xml:space="preserve"> they serve</w:t>
      </w:r>
      <w:r w:rsidRPr="00A64A35">
        <w:t xml:space="preserve">.  </w:t>
      </w:r>
      <w:r>
        <w:t>I</w:t>
      </w:r>
      <w:r w:rsidRPr="00A64A35">
        <w:t xml:space="preserve">n an underserved area, </w:t>
      </w:r>
      <w:r>
        <w:t xml:space="preserve">it </w:t>
      </w:r>
      <w:r w:rsidR="000B688B">
        <w:t>m</w:t>
      </w:r>
      <w:r w:rsidR="00811F37">
        <w:t>ay</w:t>
      </w:r>
      <w:r w:rsidR="000B688B">
        <w:t xml:space="preserve"> be </w:t>
      </w:r>
      <w:r>
        <w:t xml:space="preserve">difficult </w:t>
      </w:r>
      <w:r w:rsidR="00811F37">
        <w:t xml:space="preserve">for the MA plan </w:t>
      </w:r>
      <w:r>
        <w:t xml:space="preserve">to </w:t>
      </w:r>
      <w:r w:rsidR="000B688B">
        <w:t>meet</w:t>
      </w:r>
      <w:r w:rsidRPr="00A64A35">
        <w:t xml:space="preserve"> </w:t>
      </w:r>
      <w:r w:rsidR="000B688B">
        <w:t xml:space="preserve">the </w:t>
      </w:r>
      <w:r w:rsidRPr="00A64A35">
        <w:t>market</w:t>
      </w:r>
      <w:r>
        <w:t xml:space="preserve"> </w:t>
      </w:r>
      <w:r w:rsidRPr="00A64A35">
        <w:t>adequacy requirement if an</w:t>
      </w:r>
      <w:r>
        <w:t xml:space="preserve"> </w:t>
      </w:r>
      <w:r w:rsidR="000B688B">
        <w:t xml:space="preserve">existing </w:t>
      </w:r>
      <w:r w:rsidRPr="00A64A35">
        <w:t>RHC is not part of the</w:t>
      </w:r>
      <w:r>
        <w:t xml:space="preserve"> network.</w:t>
      </w:r>
    </w:p>
    <w:p w:rsidR="00C81388" w:rsidRDefault="00C81388" w:rsidP="00C81388"/>
    <w:p w:rsidR="00C81388" w:rsidRPr="00706296" w:rsidRDefault="00C81388" w:rsidP="00C81388">
      <w:r w:rsidRPr="00706296">
        <w:t xml:space="preserve">If an RHC is a </w:t>
      </w:r>
      <w:r w:rsidRPr="00706296">
        <w:rPr>
          <w:u w:val="single"/>
        </w:rPr>
        <w:t>contracted</w:t>
      </w:r>
      <w:r w:rsidRPr="00706296">
        <w:t xml:space="preserve"> provider within a MA network,</w:t>
      </w:r>
      <w:r>
        <w:t xml:space="preserve"> </w:t>
      </w:r>
      <w:r w:rsidRPr="00706296">
        <w:t xml:space="preserve">the RHC is obligated to follow whatever </w:t>
      </w:r>
      <w:r>
        <w:t xml:space="preserve">is </w:t>
      </w:r>
      <w:r w:rsidRPr="00706296">
        <w:t>established</w:t>
      </w:r>
      <w:r>
        <w:t xml:space="preserve"> in the </w:t>
      </w:r>
      <w:r w:rsidRPr="00706296">
        <w:t>contract</w:t>
      </w:r>
      <w:r>
        <w:t xml:space="preserve">.  </w:t>
      </w:r>
      <w:r w:rsidRPr="00706296">
        <w:t>Payment</w:t>
      </w:r>
      <w:r>
        <w:t xml:space="preserve"> </w:t>
      </w:r>
      <w:r w:rsidRPr="00706296">
        <w:t xml:space="preserve">could be cost-based, fee-for-service, </w:t>
      </w:r>
      <w:r>
        <w:t xml:space="preserve">or even </w:t>
      </w:r>
      <w:r w:rsidRPr="00706296">
        <w:t>capitation.</w:t>
      </w:r>
    </w:p>
    <w:p w:rsidR="00C81388" w:rsidRPr="00706296" w:rsidRDefault="00C81388" w:rsidP="00C81388"/>
    <w:p w:rsidR="00A6529F" w:rsidRDefault="00C81388" w:rsidP="00C81388">
      <w:r w:rsidRPr="00706296">
        <w:t>Non-network providers are able to see patients enrolled in MA plans</w:t>
      </w:r>
      <w:r>
        <w:t>,</w:t>
      </w:r>
      <w:r w:rsidRPr="00706296">
        <w:t xml:space="preserve"> but the</w:t>
      </w:r>
      <w:r>
        <w:t xml:space="preserve"> </w:t>
      </w:r>
      <w:r w:rsidRPr="00706296">
        <w:t xml:space="preserve">terms and conditions for payment vary </w:t>
      </w:r>
      <w:r>
        <w:t xml:space="preserve">by </w:t>
      </w:r>
      <w:r w:rsidRPr="00706296">
        <w:t xml:space="preserve">type of plan (fee schedule, capitation, enhanced fee-for-service, etc.).  The most common MA plan in rural communities is </w:t>
      </w:r>
      <w:r>
        <w:t>p</w:t>
      </w:r>
      <w:r w:rsidRPr="00706296">
        <w:t xml:space="preserve">rivate </w:t>
      </w:r>
      <w:r>
        <w:t>f</w:t>
      </w:r>
      <w:r w:rsidRPr="00706296">
        <w:t>ee</w:t>
      </w:r>
      <w:r>
        <w:t>-f</w:t>
      </w:r>
      <w:r w:rsidRPr="00706296">
        <w:t>or</w:t>
      </w:r>
      <w:r>
        <w:t>-s</w:t>
      </w:r>
      <w:r w:rsidRPr="00706296">
        <w:t>ervice (PFFS).  Under this type of</w:t>
      </w:r>
      <w:r>
        <w:t xml:space="preserve"> </w:t>
      </w:r>
      <w:r w:rsidRPr="00706296">
        <w:t>arrangement, the MA plan is</w:t>
      </w:r>
      <w:r>
        <w:t xml:space="preserve"> </w:t>
      </w:r>
      <w:r w:rsidRPr="00706296">
        <w:t xml:space="preserve">required to pay the RHC </w:t>
      </w:r>
      <w:r>
        <w:t xml:space="preserve">its </w:t>
      </w:r>
      <w:r w:rsidRPr="00706296">
        <w:t>all-inclusive rate.</w:t>
      </w:r>
      <w:r>
        <w:t xml:space="preserve">  However, the billing format is </w:t>
      </w:r>
      <w:r w:rsidRPr="00706296">
        <w:t>up to</w:t>
      </w:r>
      <w:r>
        <w:t xml:space="preserve"> the plan.</w:t>
      </w:r>
    </w:p>
    <w:p w:rsidR="00C81388" w:rsidRPr="00A6529F" w:rsidRDefault="00C81388" w:rsidP="00C81388"/>
    <w:p w:rsidR="00A6529F" w:rsidRPr="00A6529F" w:rsidRDefault="00A6529F" w:rsidP="00A6529F">
      <w:r>
        <w:t>F</w:t>
      </w:r>
      <w:r w:rsidRPr="00A6529F">
        <w:t xml:space="preserve">lu and </w:t>
      </w:r>
      <w:r>
        <w:t>p</w:t>
      </w:r>
      <w:r w:rsidRPr="00A6529F">
        <w:t>neumo</w:t>
      </w:r>
      <w:r>
        <w:t>nia</w:t>
      </w:r>
      <w:r w:rsidRPr="00A6529F">
        <w:t xml:space="preserve"> vaccines administered to MA patients </w:t>
      </w:r>
      <w:r>
        <w:t xml:space="preserve">are </w:t>
      </w:r>
      <w:r w:rsidRPr="00706296">
        <w:rPr>
          <w:u w:val="single"/>
        </w:rPr>
        <w:t>not</w:t>
      </w:r>
      <w:r w:rsidRPr="00A6529F">
        <w:t xml:space="preserve"> captured</w:t>
      </w:r>
      <w:r>
        <w:t xml:space="preserve"> </w:t>
      </w:r>
      <w:r w:rsidRPr="00A6529F">
        <w:t>on the RHC cost report.  Reimbursement should come through the MA plan</w:t>
      </w:r>
      <w:r>
        <w:t>.</w:t>
      </w:r>
    </w:p>
    <w:p w:rsidR="00481A93" w:rsidRDefault="00481A93" w:rsidP="00B31D0C"/>
    <w:p w:rsidR="00C261AE" w:rsidRPr="00C261AE" w:rsidRDefault="00A7733E" w:rsidP="00B31D0C">
      <w:pPr>
        <w:rPr>
          <w:b/>
        </w:rPr>
      </w:pPr>
      <w:r>
        <w:rPr>
          <w:b/>
        </w:rPr>
        <w:t>Affiliated</w:t>
      </w:r>
      <w:r w:rsidR="00C261AE" w:rsidRPr="00C261AE">
        <w:rPr>
          <w:b/>
        </w:rPr>
        <w:t xml:space="preserve"> RHCs</w:t>
      </w:r>
    </w:p>
    <w:p w:rsidR="00C261AE" w:rsidRDefault="00C261AE" w:rsidP="00B31D0C">
      <w:r>
        <w:t>Each RHC must be individually certified by CMS and must submit claims using its own clinic NPI.  However, co</w:t>
      </w:r>
      <w:r w:rsidR="00A7733E">
        <w:t xml:space="preserve">mmonly </w:t>
      </w:r>
      <w:r>
        <w:t>owned RHCs may submit a unified cost report.</w:t>
      </w:r>
    </w:p>
    <w:p w:rsidR="00653FA6" w:rsidRPr="00653FA6" w:rsidRDefault="00653FA6" w:rsidP="00653FA6">
      <w:pPr>
        <w:rPr>
          <w:sz w:val="20"/>
          <w:szCs w:val="20"/>
        </w:rPr>
      </w:pPr>
    </w:p>
    <w:p w:rsidR="005601D8" w:rsidRDefault="005601D8" w:rsidP="00653FA6">
      <w:pPr>
        <w:rPr>
          <w:b/>
        </w:rPr>
      </w:pPr>
      <w:r w:rsidRPr="005601D8">
        <w:rPr>
          <w:b/>
        </w:rPr>
        <w:t>Change of Ownership</w:t>
      </w:r>
      <w:r w:rsidR="000A5C0B">
        <w:rPr>
          <w:b/>
        </w:rPr>
        <w:t xml:space="preserve"> (CHOW)</w:t>
      </w:r>
    </w:p>
    <w:p w:rsidR="00344727" w:rsidRDefault="00344727" w:rsidP="00653FA6">
      <w:r>
        <w:t>When a</w:t>
      </w:r>
      <w:r w:rsidR="000B688B">
        <w:t>n</w:t>
      </w:r>
      <w:r>
        <w:t xml:space="preserve"> RHC is sold, </w:t>
      </w:r>
      <w:r w:rsidR="000B688B">
        <w:t>t</w:t>
      </w:r>
      <w:r w:rsidR="000B688B" w:rsidRPr="0050114A">
        <w:rPr>
          <w:bCs/>
        </w:rPr>
        <w:t xml:space="preserve">he </w:t>
      </w:r>
      <w:r w:rsidR="000B688B">
        <w:rPr>
          <w:bCs/>
        </w:rPr>
        <w:t xml:space="preserve">seller is required to </w:t>
      </w:r>
      <w:r w:rsidR="000B688B" w:rsidRPr="0050114A">
        <w:rPr>
          <w:bCs/>
        </w:rPr>
        <w:t>submit a Form CMS-855A or CMS-855B citing the termination of current ownership</w:t>
      </w:r>
      <w:r w:rsidR="000B688B">
        <w:rPr>
          <w:bCs/>
        </w:rPr>
        <w:t xml:space="preserve">. </w:t>
      </w:r>
      <w:r w:rsidR="000B688B" w:rsidRPr="005043AB">
        <w:rPr>
          <w:bCs/>
          <w:i/>
        </w:rPr>
        <w:t xml:space="preserve"> </w:t>
      </w:r>
      <w:r w:rsidR="00AA24AB" w:rsidRPr="005043AB">
        <w:rPr>
          <w:bCs/>
          <w:i/>
        </w:rPr>
        <w:t xml:space="preserve">A CMS-29 </w:t>
      </w:r>
      <w:r w:rsidR="005043AB">
        <w:rPr>
          <w:bCs/>
          <w:i/>
        </w:rPr>
        <w:t>is not required</w:t>
      </w:r>
      <w:r w:rsidR="00AA24AB" w:rsidRPr="005043AB">
        <w:rPr>
          <w:bCs/>
          <w:i/>
        </w:rPr>
        <w:t>.</w:t>
      </w:r>
      <w:r w:rsidR="00AA24AB">
        <w:rPr>
          <w:bCs/>
        </w:rPr>
        <w:t xml:space="preserve">  </w:t>
      </w:r>
      <w:r w:rsidR="000B688B">
        <w:rPr>
          <w:bCs/>
        </w:rPr>
        <w:t>T</w:t>
      </w:r>
      <w:r>
        <w:t>wo options are available to the new owner:</w:t>
      </w:r>
    </w:p>
    <w:p w:rsidR="00344727" w:rsidRPr="00920E94" w:rsidRDefault="00344727" w:rsidP="00653FA6">
      <w:pPr>
        <w:rPr>
          <w:rFonts w:cstheme="minorHAnsi"/>
        </w:rPr>
      </w:pPr>
    </w:p>
    <w:p w:rsidR="00920E94" w:rsidRPr="00920E94" w:rsidRDefault="00920E94" w:rsidP="00D47A61">
      <w:pPr>
        <w:pStyle w:val="PlainText"/>
        <w:rPr>
          <w:rFonts w:asciiTheme="minorHAnsi" w:hAnsiTheme="minorHAnsi" w:cstheme="minorHAnsi"/>
          <w:sz w:val="22"/>
          <w:szCs w:val="22"/>
        </w:rPr>
      </w:pPr>
      <w:r w:rsidRPr="00920E94">
        <w:rPr>
          <w:rFonts w:asciiTheme="minorHAnsi" w:hAnsiTheme="minorHAnsi" w:cstheme="minorHAnsi"/>
          <w:sz w:val="22"/>
          <w:szCs w:val="22"/>
        </w:rPr>
        <w:t xml:space="preserve">1)  </w:t>
      </w:r>
      <w:r w:rsidR="00E70A96" w:rsidRPr="00E70A96">
        <w:rPr>
          <w:rFonts w:asciiTheme="minorHAnsi" w:hAnsiTheme="minorHAnsi" w:cstheme="minorHAnsi"/>
          <w:sz w:val="22"/>
          <w:szCs w:val="22"/>
          <w:u w:val="single"/>
        </w:rPr>
        <w:t>Accept</w:t>
      </w:r>
      <w:r w:rsidR="00344727" w:rsidRPr="00920E94">
        <w:rPr>
          <w:rFonts w:asciiTheme="minorHAnsi" w:hAnsiTheme="minorHAnsi" w:cstheme="minorHAnsi"/>
          <w:sz w:val="22"/>
          <w:szCs w:val="22"/>
          <w:u w:val="single"/>
        </w:rPr>
        <w:t xml:space="preserve"> assignment</w:t>
      </w:r>
      <w:r w:rsidR="00344727" w:rsidRPr="00920E94">
        <w:rPr>
          <w:rFonts w:asciiTheme="minorHAnsi" w:hAnsiTheme="minorHAnsi" w:cstheme="minorHAnsi"/>
          <w:sz w:val="22"/>
          <w:szCs w:val="22"/>
        </w:rPr>
        <w:t xml:space="preserve"> of the Medicare provider agreement</w:t>
      </w:r>
      <w:r w:rsidR="00E70A96">
        <w:rPr>
          <w:rFonts w:asciiTheme="minorHAnsi" w:hAnsiTheme="minorHAnsi" w:cstheme="minorHAnsi"/>
          <w:sz w:val="22"/>
          <w:szCs w:val="22"/>
        </w:rPr>
        <w:t>, wherein t</w:t>
      </w:r>
      <w:r w:rsidR="00344727" w:rsidRPr="00920E94">
        <w:rPr>
          <w:rFonts w:asciiTheme="minorHAnsi" w:hAnsiTheme="minorHAnsi" w:cstheme="minorHAnsi"/>
          <w:sz w:val="22"/>
          <w:szCs w:val="22"/>
        </w:rPr>
        <w:t xml:space="preserve">he agreement, financial obligation, CCN, etc., transfer to the new owner.  If the RHC no longer meets the location requirements, the </w:t>
      </w:r>
      <w:r w:rsidRPr="00920E94">
        <w:rPr>
          <w:rFonts w:asciiTheme="minorHAnsi" w:hAnsiTheme="minorHAnsi" w:cstheme="minorHAnsi"/>
          <w:sz w:val="22"/>
          <w:szCs w:val="22"/>
        </w:rPr>
        <w:t>grandfather status transfers to the new owner</w:t>
      </w:r>
      <w:r w:rsidR="00344727" w:rsidRPr="00920E94">
        <w:rPr>
          <w:rFonts w:asciiTheme="minorHAnsi" w:hAnsiTheme="minorHAnsi" w:cstheme="minorHAnsi"/>
          <w:sz w:val="22"/>
          <w:szCs w:val="22"/>
        </w:rPr>
        <w:t xml:space="preserve">.  However, if the RHC relocates as part of the CHOW, the grandfather status is forfeited and the new owner must complete a CMS-29 to help determine whether the location and staffing requirements are met </w:t>
      </w:r>
      <w:r w:rsidRPr="00920E94">
        <w:rPr>
          <w:rFonts w:asciiTheme="minorHAnsi" w:hAnsiTheme="minorHAnsi" w:cstheme="minorHAnsi"/>
          <w:sz w:val="22"/>
          <w:szCs w:val="22"/>
        </w:rPr>
        <w:t>at</w:t>
      </w:r>
      <w:r w:rsidR="00344727" w:rsidRPr="00920E94">
        <w:rPr>
          <w:rFonts w:asciiTheme="minorHAnsi" w:hAnsiTheme="minorHAnsi" w:cstheme="minorHAnsi"/>
          <w:sz w:val="22"/>
          <w:szCs w:val="22"/>
        </w:rPr>
        <w:t xml:space="preserve"> the new location.  A survey is </w:t>
      </w:r>
      <w:r w:rsidR="00344727" w:rsidRPr="00920E94">
        <w:rPr>
          <w:rFonts w:asciiTheme="minorHAnsi" w:hAnsiTheme="minorHAnsi" w:cstheme="minorHAnsi"/>
          <w:sz w:val="22"/>
          <w:szCs w:val="22"/>
          <w:u w:val="single"/>
        </w:rPr>
        <w:t>not</w:t>
      </w:r>
      <w:r w:rsidR="00344727" w:rsidRPr="00920E94">
        <w:rPr>
          <w:rFonts w:asciiTheme="minorHAnsi" w:hAnsiTheme="minorHAnsi" w:cstheme="minorHAnsi"/>
          <w:sz w:val="22"/>
          <w:szCs w:val="22"/>
        </w:rPr>
        <w:t xml:space="preserve"> automatically required</w:t>
      </w:r>
      <w:r w:rsidRPr="00920E94">
        <w:rPr>
          <w:rFonts w:asciiTheme="minorHAnsi" w:hAnsiTheme="minorHAnsi" w:cstheme="minorHAnsi"/>
          <w:sz w:val="22"/>
          <w:szCs w:val="22"/>
        </w:rPr>
        <w:t>; h</w:t>
      </w:r>
      <w:r w:rsidR="00344727" w:rsidRPr="00920E94">
        <w:rPr>
          <w:rFonts w:asciiTheme="minorHAnsi" w:hAnsiTheme="minorHAnsi" w:cstheme="minorHAnsi"/>
          <w:sz w:val="22"/>
          <w:szCs w:val="22"/>
        </w:rPr>
        <w:t xml:space="preserve">owever, based on the information received, the </w:t>
      </w:r>
      <w:r w:rsidRPr="00920E94">
        <w:rPr>
          <w:rFonts w:asciiTheme="minorHAnsi" w:hAnsiTheme="minorHAnsi" w:cstheme="minorHAnsi"/>
          <w:sz w:val="22"/>
          <w:szCs w:val="22"/>
        </w:rPr>
        <w:t>CMS Regional Office</w:t>
      </w:r>
      <w:r w:rsidR="00344727" w:rsidRPr="00920E94">
        <w:rPr>
          <w:rFonts w:asciiTheme="minorHAnsi" w:hAnsiTheme="minorHAnsi" w:cstheme="minorHAnsi"/>
          <w:sz w:val="22"/>
          <w:szCs w:val="22"/>
        </w:rPr>
        <w:t xml:space="preserve"> may determine a resurvey is warranted.</w:t>
      </w:r>
    </w:p>
    <w:p w:rsidR="00920E94" w:rsidRDefault="00920E94" w:rsidP="00920E94">
      <w:pPr>
        <w:pStyle w:val="PlainText"/>
        <w:rPr>
          <w:rFonts w:asciiTheme="minorHAnsi" w:hAnsiTheme="minorHAnsi" w:cstheme="minorHAnsi"/>
          <w:sz w:val="22"/>
          <w:szCs w:val="22"/>
        </w:rPr>
      </w:pPr>
    </w:p>
    <w:p w:rsidR="00920E94" w:rsidRDefault="00920E94" w:rsidP="00920E94">
      <w:r>
        <w:t xml:space="preserve">If the RHC </w:t>
      </w:r>
      <w:r w:rsidR="005043AB">
        <w:t xml:space="preserve">also </w:t>
      </w:r>
      <w:r>
        <w:t xml:space="preserve">changes between independent and provider-based, the existing provider number (CCN) will be retired </w:t>
      </w:r>
      <w:r w:rsidR="005043AB">
        <w:t>and a new one issued (which doesn’t affect grandfathering).</w:t>
      </w:r>
      <w:r>
        <w:t xml:space="preserve">  A change in </w:t>
      </w:r>
      <w:r w:rsidR="005043AB">
        <w:t xml:space="preserve">CCN </w:t>
      </w:r>
      <w:r>
        <w:t>will disrupt claims, and the encounter rate may change.  The new owner may also continue the existing cost reporting cycle or initiate a new one.</w:t>
      </w:r>
    </w:p>
    <w:p w:rsidR="00920E94" w:rsidRPr="00920E94" w:rsidRDefault="00920E94" w:rsidP="00920E94">
      <w:pPr>
        <w:pStyle w:val="PlainText"/>
        <w:rPr>
          <w:rFonts w:asciiTheme="minorHAnsi" w:hAnsiTheme="minorHAnsi" w:cstheme="minorHAnsi"/>
          <w:sz w:val="22"/>
          <w:szCs w:val="22"/>
        </w:rPr>
      </w:pPr>
    </w:p>
    <w:p w:rsidR="00344727" w:rsidRPr="00920E94" w:rsidRDefault="00920E94" w:rsidP="00920E94">
      <w:pPr>
        <w:pStyle w:val="PlainText"/>
        <w:rPr>
          <w:rFonts w:asciiTheme="minorHAnsi" w:hAnsiTheme="minorHAnsi" w:cstheme="minorHAnsi"/>
          <w:sz w:val="22"/>
          <w:szCs w:val="22"/>
        </w:rPr>
      </w:pPr>
      <w:r w:rsidRPr="00920E94">
        <w:rPr>
          <w:rFonts w:asciiTheme="minorHAnsi" w:hAnsiTheme="minorHAnsi" w:cstheme="minorHAnsi"/>
          <w:sz w:val="22"/>
          <w:szCs w:val="22"/>
        </w:rPr>
        <w:t xml:space="preserve">2)  </w:t>
      </w:r>
      <w:r w:rsidR="00494AE1">
        <w:rPr>
          <w:rFonts w:asciiTheme="minorHAnsi" w:hAnsiTheme="minorHAnsi" w:cstheme="minorHAnsi"/>
          <w:sz w:val="22"/>
          <w:szCs w:val="22"/>
          <w:u w:val="single"/>
        </w:rPr>
        <w:t>Reject</w:t>
      </w:r>
      <w:r w:rsidR="00344727" w:rsidRPr="00920E94">
        <w:rPr>
          <w:rFonts w:asciiTheme="minorHAnsi" w:hAnsiTheme="minorHAnsi" w:cstheme="minorHAnsi"/>
          <w:sz w:val="22"/>
          <w:szCs w:val="22"/>
          <w:u w:val="single"/>
        </w:rPr>
        <w:t xml:space="preserve"> assignment</w:t>
      </w:r>
      <w:r w:rsidR="00344727" w:rsidRPr="00920E94">
        <w:rPr>
          <w:rFonts w:asciiTheme="minorHAnsi" w:hAnsiTheme="minorHAnsi" w:cstheme="minorHAnsi"/>
          <w:sz w:val="22"/>
          <w:szCs w:val="22"/>
        </w:rPr>
        <w:t xml:space="preserve"> of </w:t>
      </w:r>
      <w:r>
        <w:rPr>
          <w:rFonts w:asciiTheme="minorHAnsi" w:hAnsiTheme="minorHAnsi" w:cstheme="minorHAnsi"/>
          <w:sz w:val="22"/>
          <w:szCs w:val="22"/>
        </w:rPr>
        <w:t xml:space="preserve">the </w:t>
      </w:r>
      <w:r w:rsidR="00344727" w:rsidRPr="00920E94">
        <w:rPr>
          <w:rFonts w:asciiTheme="minorHAnsi" w:hAnsiTheme="minorHAnsi" w:cstheme="minorHAnsi"/>
          <w:sz w:val="22"/>
          <w:szCs w:val="22"/>
        </w:rPr>
        <w:t xml:space="preserve">agreement, </w:t>
      </w:r>
      <w:r w:rsidR="00494AE1">
        <w:rPr>
          <w:rFonts w:asciiTheme="minorHAnsi" w:hAnsiTheme="minorHAnsi" w:cstheme="minorHAnsi"/>
          <w:sz w:val="22"/>
          <w:szCs w:val="22"/>
        </w:rPr>
        <w:t xml:space="preserve">wherein </w:t>
      </w:r>
      <w:r w:rsidR="00344727" w:rsidRPr="00920E94">
        <w:rPr>
          <w:rFonts w:asciiTheme="minorHAnsi" w:hAnsiTheme="minorHAnsi" w:cstheme="minorHAnsi"/>
          <w:sz w:val="22"/>
          <w:szCs w:val="22"/>
        </w:rPr>
        <w:t xml:space="preserve">the </w:t>
      </w:r>
      <w:r>
        <w:rPr>
          <w:rFonts w:asciiTheme="minorHAnsi" w:hAnsiTheme="minorHAnsi" w:cstheme="minorHAnsi"/>
          <w:sz w:val="22"/>
          <w:szCs w:val="22"/>
        </w:rPr>
        <w:t>provider agreement, financial obligation, CCN, etc., are terminated</w:t>
      </w:r>
      <w:r w:rsidR="000B688B">
        <w:rPr>
          <w:rFonts w:asciiTheme="minorHAnsi" w:hAnsiTheme="minorHAnsi" w:cstheme="minorHAnsi"/>
          <w:sz w:val="22"/>
          <w:szCs w:val="22"/>
        </w:rPr>
        <w:t xml:space="preserve">, </w:t>
      </w:r>
      <w:r w:rsidR="000B688B" w:rsidRPr="00920E94">
        <w:rPr>
          <w:rFonts w:asciiTheme="minorHAnsi" w:hAnsiTheme="minorHAnsi" w:cstheme="minorHAnsi"/>
          <w:sz w:val="22"/>
          <w:szCs w:val="22"/>
        </w:rPr>
        <w:t xml:space="preserve">the </w:t>
      </w:r>
      <w:r w:rsidR="000B688B">
        <w:rPr>
          <w:rFonts w:asciiTheme="minorHAnsi" w:hAnsiTheme="minorHAnsi" w:cstheme="minorHAnsi"/>
          <w:sz w:val="22"/>
          <w:szCs w:val="22"/>
        </w:rPr>
        <w:t xml:space="preserve">location </w:t>
      </w:r>
      <w:r w:rsidR="000B688B" w:rsidRPr="00920E94">
        <w:rPr>
          <w:rFonts w:asciiTheme="minorHAnsi" w:hAnsiTheme="minorHAnsi" w:cstheme="minorHAnsi"/>
          <w:sz w:val="22"/>
          <w:szCs w:val="22"/>
        </w:rPr>
        <w:t>grandfather status</w:t>
      </w:r>
      <w:r>
        <w:rPr>
          <w:rFonts w:asciiTheme="minorHAnsi" w:hAnsiTheme="minorHAnsi" w:cstheme="minorHAnsi"/>
          <w:sz w:val="22"/>
          <w:szCs w:val="22"/>
        </w:rPr>
        <w:t xml:space="preserve"> </w:t>
      </w:r>
      <w:r w:rsidR="000B688B">
        <w:rPr>
          <w:rFonts w:asciiTheme="minorHAnsi" w:hAnsiTheme="minorHAnsi" w:cstheme="minorHAnsi"/>
          <w:sz w:val="22"/>
          <w:szCs w:val="22"/>
        </w:rPr>
        <w:t>is for</w:t>
      </w:r>
      <w:r w:rsidR="00AF01E9">
        <w:rPr>
          <w:rFonts w:asciiTheme="minorHAnsi" w:hAnsiTheme="minorHAnsi" w:cstheme="minorHAnsi"/>
          <w:sz w:val="22"/>
          <w:szCs w:val="22"/>
        </w:rPr>
        <w:t>f</w:t>
      </w:r>
      <w:r w:rsidR="000B688B">
        <w:rPr>
          <w:rFonts w:asciiTheme="minorHAnsi" w:hAnsiTheme="minorHAnsi" w:cstheme="minorHAnsi"/>
          <w:sz w:val="22"/>
          <w:szCs w:val="22"/>
        </w:rPr>
        <w:t xml:space="preserve">eited, </w:t>
      </w:r>
      <w:r>
        <w:rPr>
          <w:rFonts w:asciiTheme="minorHAnsi" w:hAnsiTheme="minorHAnsi" w:cstheme="minorHAnsi"/>
          <w:sz w:val="22"/>
          <w:szCs w:val="22"/>
        </w:rPr>
        <w:t xml:space="preserve">and the facility must submit </w:t>
      </w:r>
      <w:r w:rsidR="00344727" w:rsidRPr="00920E94">
        <w:rPr>
          <w:rFonts w:asciiTheme="minorHAnsi" w:hAnsiTheme="minorHAnsi" w:cstheme="minorHAnsi"/>
          <w:sz w:val="22"/>
          <w:szCs w:val="22"/>
        </w:rPr>
        <w:t xml:space="preserve">a new </w:t>
      </w:r>
      <w:r w:rsidR="000B688B">
        <w:rPr>
          <w:rFonts w:asciiTheme="minorHAnsi" w:hAnsiTheme="minorHAnsi" w:cstheme="minorHAnsi"/>
          <w:sz w:val="22"/>
          <w:szCs w:val="22"/>
        </w:rPr>
        <w:t>RHC certification application.</w:t>
      </w:r>
    </w:p>
    <w:p w:rsidR="00D61606" w:rsidRDefault="00D61606" w:rsidP="005601D8"/>
    <w:p w:rsidR="007247E1" w:rsidRDefault="00344727" w:rsidP="007247E1">
      <w:r>
        <w:t>A</w:t>
      </w:r>
      <w:r w:rsidR="007247E1">
        <w:t xml:space="preserve"> CHOW must </w:t>
      </w:r>
      <w:r>
        <w:t xml:space="preserve">also </w:t>
      </w:r>
      <w:r w:rsidR="007247E1">
        <w:t xml:space="preserve">be reported to the state </w:t>
      </w:r>
      <w:r w:rsidR="007247E1" w:rsidRPr="005601D8">
        <w:rPr>
          <w:u w:val="single"/>
        </w:rPr>
        <w:t>Medicaid</w:t>
      </w:r>
      <w:r w:rsidR="007247E1" w:rsidRPr="005601D8">
        <w:t xml:space="preserve"> </w:t>
      </w:r>
      <w:r w:rsidR="007247E1">
        <w:t>office, which may have its own procedures.</w:t>
      </w:r>
    </w:p>
    <w:p w:rsidR="005601D8" w:rsidRPr="005601D8" w:rsidRDefault="005601D8" w:rsidP="005601D8"/>
    <w:p w:rsidR="005601D8" w:rsidRPr="005601D8" w:rsidRDefault="00EB4107" w:rsidP="005601D8">
      <w:r>
        <w:t xml:space="preserve">Further, </w:t>
      </w:r>
      <w:r w:rsidRPr="00EB4107">
        <w:rPr>
          <w:u w:val="single"/>
        </w:rPr>
        <w:t>all patients</w:t>
      </w:r>
      <w:r>
        <w:t xml:space="preserve"> </w:t>
      </w:r>
      <w:r w:rsidR="005601D8" w:rsidRPr="005601D8">
        <w:t xml:space="preserve">will be considered </w:t>
      </w:r>
      <w:r w:rsidRPr="00EB4107">
        <w:rPr>
          <w:u w:val="single"/>
        </w:rPr>
        <w:t>new</w:t>
      </w:r>
      <w:r>
        <w:t xml:space="preserve"> </w:t>
      </w:r>
      <w:r w:rsidR="005601D8" w:rsidRPr="005601D8">
        <w:t>patients for the purpose of consent, release, HIPAA, etc.</w:t>
      </w:r>
      <w:r>
        <w:t>,</w:t>
      </w:r>
      <w:r w:rsidR="005601D8" w:rsidRPr="005601D8">
        <w:t xml:space="preserve"> forms, but </w:t>
      </w:r>
      <w:r w:rsidRPr="00EB4107">
        <w:rPr>
          <w:u w:val="single"/>
        </w:rPr>
        <w:t>not</w:t>
      </w:r>
      <w:r>
        <w:t xml:space="preserve"> </w:t>
      </w:r>
      <w:r w:rsidR="005601D8" w:rsidRPr="005601D8">
        <w:t xml:space="preserve">for the purpose of charging as a new patient, </w:t>
      </w:r>
      <w:r>
        <w:t xml:space="preserve">assuming </w:t>
      </w:r>
      <w:r w:rsidR="005601D8" w:rsidRPr="005601D8">
        <w:t>the same prov</w:t>
      </w:r>
      <w:r>
        <w:t>iders are seeing the patients.</w:t>
      </w:r>
    </w:p>
    <w:p w:rsidR="000A5265" w:rsidRDefault="000A5265" w:rsidP="00653FA6"/>
    <w:p w:rsidR="000A5265" w:rsidRPr="000A5265" w:rsidRDefault="000A5265" w:rsidP="00653FA6">
      <w:pPr>
        <w:rPr>
          <w:b/>
        </w:rPr>
      </w:pPr>
      <w:r w:rsidRPr="000A5265">
        <w:rPr>
          <w:b/>
        </w:rPr>
        <w:t>Translation/Interpreter Services</w:t>
      </w:r>
    </w:p>
    <w:p w:rsidR="000A5265" w:rsidRDefault="000A5265" w:rsidP="00653FA6">
      <w:r w:rsidRPr="000A5265">
        <w:t xml:space="preserve">As part of the certification process, RHCs must complete </w:t>
      </w:r>
      <w:hyperlink r:id="rId35" w:history="1">
        <w:r w:rsidRPr="00811F37">
          <w:rPr>
            <w:rStyle w:val="Hyperlink"/>
          </w:rPr>
          <w:t>OMB Form 0990-0243</w:t>
        </w:r>
      </w:hyperlink>
      <w:r w:rsidRPr="000A5265">
        <w:t xml:space="preserve">, </w:t>
      </w:r>
      <w:r w:rsidRPr="00811F37">
        <w:rPr>
          <w:i/>
        </w:rPr>
        <w:t>Civil Rights Information Request</w:t>
      </w:r>
      <w:r w:rsidRPr="000A5265">
        <w:t>, and receive a civil rights clearance from the HHS Office for Civil Rights.  The form includes certification of a nondiscrimination policy and requires provision for services to LEP and hearing impaired individuals (Section II, items 2, 7 &amp; 8).</w:t>
      </w:r>
    </w:p>
    <w:p w:rsidR="00C81388" w:rsidRDefault="00C81388" w:rsidP="00653FA6"/>
    <w:p w:rsidR="00B06978" w:rsidRPr="00B06978" w:rsidRDefault="00B06978" w:rsidP="00653FA6">
      <w:pPr>
        <w:rPr>
          <w:rFonts w:cstheme="minorHAnsi"/>
        </w:rPr>
      </w:pPr>
    </w:p>
    <w:p w:rsidR="00811F37" w:rsidRPr="00AA24AB" w:rsidRDefault="00AA24AB" w:rsidP="00AA24AB">
      <w:pPr>
        <w:jc w:val="center"/>
        <w:rPr>
          <w:b/>
          <w:sz w:val="28"/>
          <w:szCs w:val="28"/>
        </w:rPr>
      </w:pPr>
      <w:r w:rsidRPr="00AA24AB">
        <w:rPr>
          <w:b/>
          <w:sz w:val="28"/>
          <w:szCs w:val="28"/>
        </w:rPr>
        <w:lastRenderedPageBreak/>
        <w:t>Medicaid</w:t>
      </w:r>
      <w:r>
        <w:rPr>
          <w:b/>
          <w:sz w:val="28"/>
          <w:szCs w:val="28"/>
        </w:rPr>
        <w:t xml:space="preserve"> RHC Information</w:t>
      </w:r>
    </w:p>
    <w:p w:rsidR="00AA24AB" w:rsidRDefault="00AA24AB" w:rsidP="00653FA6"/>
    <w:p w:rsidR="00C81388" w:rsidRPr="009E649A" w:rsidRDefault="009E649A" w:rsidP="00B31D0C">
      <w:pPr>
        <w:rPr>
          <w:sz w:val="24"/>
          <w:szCs w:val="24"/>
        </w:rPr>
      </w:pPr>
      <w:r>
        <w:rPr>
          <w:b/>
          <w:sz w:val="24"/>
          <w:szCs w:val="24"/>
        </w:rPr>
        <w:t>Reimbursement</w:t>
      </w:r>
    </w:p>
    <w:p w:rsidR="00C81388" w:rsidRPr="009E649A" w:rsidRDefault="00C81388" w:rsidP="00B31D0C">
      <w:pPr>
        <w:rPr>
          <w:b/>
        </w:rPr>
      </w:pPr>
      <w:r w:rsidRPr="009E649A">
        <w:t xml:space="preserve">State </w:t>
      </w:r>
      <w:r w:rsidR="00D332F9" w:rsidRPr="009E649A">
        <w:t>Medicaid programs must recognize RHC services and may reimburse RHCs through one of two methods.</w:t>
      </w:r>
      <w:r w:rsidR="009E649A">
        <w:t xml:space="preserve"> </w:t>
      </w:r>
      <w:r w:rsidR="00D332F9" w:rsidRPr="009E649A">
        <w:t xml:space="preserve"> The first method is a prospective payment system (PPS), which was created by the Benefits Improvement and Protection Act of 2000 (BIPA) to replace the cost-based reimbursement method. </w:t>
      </w:r>
      <w:r w:rsidR="009E649A">
        <w:t xml:space="preserve"> </w:t>
      </w:r>
      <w:r w:rsidR="00D332F9" w:rsidRPr="009E649A">
        <w:t xml:space="preserve">Under PPS, the state determines a per visit rate based on 100 percent of the reasonable costs from the </w:t>
      </w:r>
      <w:r w:rsidR="009E649A">
        <w:t xml:space="preserve">first </w:t>
      </w:r>
      <w:r w:rsidR="00D332F9" w:rsidRPr="009E649A">
        <w:t>two fiscal years</w:t>
      </w:r>
      <w:r w:rsidR="009E649A">
        <w:t xml:space="preserve"> of operation</w:t>
      </w:r>
      <w:r w:rsidR="00D332F9" w:rsidRPr="009E649A">
        <w:t xml:space="preserve">. </w:t>
      </w:r>
      <w:r w:rsidR="009E649A">
        <w:t xml:space="preserve"> </w:t>
      </w:r>
      <w:r w:rsidR="00D332F9" w:rsidRPr="009E649A">
        <w:t xml:space="preserve">Once this is determined, the baseline is increased for </w:t>
      </w:r>
      <w:r w:rsidR="009E649A">
        <w:t xml:space="preserve">each year </w:t>
      </w:r>
      <w:r w:rsidR="00D332F9" w:rsidRPr="009E649A">
        <w:t xml:space="preserve">by the Medicare Economic Index factor. </w:t>
      </w:r>
      <w:r w:rsidR="009E649A">
        <w:t xml:space="preserve"> </w:t>
      </w:r>
      <w:r w:rsidR="00D332F9" w:rsidRPr="009E649A">
        <w:t xml:space="preserve">A second reimbursement method </w:t>
      </w:r>
      <w:r w:rsidR="009E649A">
        <w:t xml:space="preserve">option </w:t>
      </w:r>
      <w:r w:rsidR="00D332F9" w:rsidRPr="009E649A">
        <w:t xml:space="preserve">is Alternative Payment. </w:t>
      </w:r>
      <w:r w:rsidR="009E649A">
        <w:t xml:space="preserve"> </w:t>
      </w:r>
      <w:r w:rsidR="00D332F9" w:rsidRPr="009E649A">
        <w:t xml:space="preserve">This system varies by state, but requires that the clinic agree to the methodology and </w:t>
      </w:r>
      <w:r w:rsidR="009E649A">
        <w:t xml:space="preserve">that </w:t>
      </w:r>
      <w:r w:rsidR="00D332F9" w:rsidRPr="009E649A">
        <w:t xml:space="preserve">the payment be at least equal to the payment under PPS. </w:t>
      </w:r>
      <w:r w:rsidR="009E649A">
        <w:t xml:space="preserve"> </w:t>
      </w:r>
      <w:r w:rsidR="00D332F9" w:rsidRPr="009E649A">
        <w:t>State</w:t>
      </w:r>
      <w:r w:rsidR="009E649A">
        <w:t>s</w:t>
      </w:r>
      <w:r w:rsidR="00D332F9" w:rsidRPr="009E649A">
        <w:t xml:space="preserve"> may also choose to cover additional ambulatory services and dental care</w:t>
      </w:r>
      <w:r w:rsidR="009E649A">
        <w:t>.</w:t>
      </w:r>
    </w:p>
    <w:p w:rsidR="001A4702" w:rsidRPr="001A4702" w:rsidRDefault="001A4702" w:rsidP="00B31D0C">
      <w:pPr>
        <w:rPr>
          <w:rFonts w:cstheme="minorHAnsi"/>
          <w:b/>
        </w:rPr>
      </w:pPr>
    </w:p>
    <w:p w:rsidR="001A4702" w:rsidRPr="001A4702" w:rsidRDefault="001A4702" w:rsidP="00B31D0C">
      <w:pPr>
        <w:rPr>
          <w:rFonts w:cstheme="minorHAnsi"/>
          <w:b/>
        </w:rPr>
      </w:pPr>
      <w:r>
        <w:rPr>
          <w:b/>
          <w:sz w:val="24"/>
          <w:szCs w:val="24"/>
        </w:rPr>
        <w:t>Managed Care</w:t>
      </w:r>
    </w:p>
    <w:p w:rsidR="001A4702" w:rsidRPr="001A4702" w:rsidRDefault="001A4702" w:rsidP="001A4702">
      <w:pPr>
        <w:pStyle w:val="PlainText"/>
        <w:rPr>
          <w:rFonts w:asciiTheme="minorHAnsi" w:hAnsiTheme="minorHAnsi" w:cstheme="minorHAnsi"/>
          <w:sz w:val="22"/>
          <w:szCs w:val="22"/>
        </w:rPr>
      </w:pPr>
      <w:r w:rsidRPr="001A4702">
        <w:rPr>
          <w:rFonts w:asciiTheme="minorHAnsi" w:hAnsiTheme="minorHAnsi" w:cstheme="minorHAnsi"/>
          <w:sz w:val="22"/>
          <w:szCs w:val="22"/>
        </w:rPr>
        <w:t>States are required to make wrap-around payments to RHCs when the Medicaid managed care rates are less than what the RHCs would have received under regular Medicaid.  The managed care plan cannot offer RHC</w:t>
      </w:r>
      <w:r>
        <w:rPr>
          <w:rFonts w:asciiTheme="minorHAnsi" w:hAnsiTheme="minorHAnsi" w:cstheme="minorHAnsi"/>
          <w:sz w:val="22"/>
          <w:szCs w:val="22"/>
        </w:rPr>
        <w:t>s</w:t>
      </w:r>
      <w:r w:rsidRPr="001A4702">
        <w:rPr>
          <w:rFonts w:asciiTheme="minorHAnsi" w:hAnsiTheme="minorHAnsi" w:cstheme="minorHAnsi"/>
          <w:sz w:val="22"/>
          <w:szCs w:val="22"/>
        </w:rPr>
        <w:t xml:space="preserve"> payment rates less than what they offer other clinics (some might do </w:t>
      </w:r>
      <w:r>
        <w:rPr>
          <w:rFonts w:asciiTheme="minorHAnsi" w:hAnsiTheme="minorHAnsi" w:cstheme="minorHAnsi"/>
          <w:sz w:val="22"/>
          <w:szCs w:val="22"/>
        </w:rPr>
        <w:t>so</w:t>
      </w:r>
      <w:r w:rsidRPr="001A4702">
        <w:rPr>
          <w:rFonts w:asciiTheme="minorHAnsi" w:hAnsiTheme="minorHAnsi" w:cstheme="minorHAnsi"/>
          <w:sz w:val="22"/>
          <w:szCs w:val="22"/>
        </w:rPr>
        <w:t xml:space="preserve"> knowing the state </w:t>
      </w:r>
      <w:r>
        <w:rPr>
          <w:rFonts w:asciiTheme="minorHAnsi" w:hAnsiTheme="minorHAnsi" w:cstheme="minorHAnsi"/>
          <w:sz w:val="22"/>
          <w:szCs w:val="22"/>
        </w:rPr>
        <w:t xml:space="preserve">must </w:t>
      </w:r>
      <w:r w:rsidRPr="001A4702">
        <w:rPr>
          <w:rFonts w:asciiTheme="minorHAnsi" w:hAnsiTheme="minorHAnsi" w:cstheme="minorHAnsi"/>
          <w:sz w:val="22"/>
          <w:szCs w:val="22"/>
        </w:rPr>
        <w:t>make the clinic "whole" due to wrap</w:t>
      </w:r>
      <w:r>
        <w:rPr>
          <w:rFonts w:asciiTheme="minorHAnsi" w:hAnsiTheme="minorHAnsi" w:cstheme="minorHAnsi"/>
          <w:sz w:val="22"/>
          <w:szCs w:val="22"/>
        </w:rPr>
        <w:t>-</w:t>
      </w:r>
      <w:r w:rsidRPr="001A4702">
        <w:rPr>
          <w:rFonts w:asciiTheme="minorHAnsi" w:hAnsiTheme="minorHAnsi" w:cstheme="minorHAnsi"/>
          <w:sz w:val="22"/>
          <w:szCs w:val="22"/>
        </w:rPr>
        <w:t xml:space="preserve">around).  </w:t>
      </w:r>
    </w:p>
    <w:p w:rsidR="001A4702" w:rsidRPr="001A4702" w:rsidRDefault="001A4702" w:rsidP="001A4702">
      <w:pPr>
        <w:pStyle w:val="PlainText"/>
        <w:rPr>
          <w:rFonts w:asciiTheme="minorHAnsi" w:hAnsiTheme="minorHAnsi" w:cstheme="minorHAnsi"/>
          <w:sz w:val="22"/>
          <w:szCs w:val="22"/>
        </w:rPr>
      </w:pPr>
    </w:p>
    <w:p w:rsidR="001A4702" w:rsidRPr="001A4702" w:rsidRDefault="001A4702" w:rsidP="001A4702">
      <w:pPr>
        <w:pStyle w:val="PlainText"/>
        <w:rPr>
          <w:rFonts w:asciiTheme="minorHAnsi" w:hAnsiTheme="minorHAnsi" w:cstheme="minorHAnsi"/>
          <w:sz w:val="22"/>
          <w:szCs w:val="22"/>
        </w:rPr>
      </w:pPr>
      <w:r w:rsidRPr="001A4702">
        <w:rPr>
          <w:rFonts w:asciiTheme="minorHAnsi" w:hAnsiTheme="minorHAnsi" w:cstheme="minorHAnsi"/>
          <w:sz w:val="22"/>
          <w:szCs w:val="22"/>
        </w:rPr>
        <w:t xml:space="preserve">In general, the Medicaid wrap-around payments are based upon the total amount received from the managed care plan during each </w:t>
      </w:r>
      <w:r>
        <w:rPr>
          <w:rFonts w:asciiTheme="minorHAnsi" w:hAnsiTheme="minorHAnsi" w:cstheme="minorHAnsi"/>
          <w:sz w:val="22"/>
          <w:szCs w:val="22"/>
        </w:rPr>
        <w:t>q</w:t>
      </w:r>
      <w:r w:rsidRPr="001A4702">
        <w:rPr>
          <w:rFonts w:asciiTheme="minorHAnsi" w:hAnsiTheme="minorHAnsi" w:cstheme="minorHAnsi"/>
          <w:sz w:val="22"/>
          <w:szCs w:val="22"/>
        </w:rPr>
        <w:t xml:space="preserve">uarter.  If the RHC got less from the </w:t>
      </w:r>
      <w:r>
        <w:rPr>
          <w:rFonts w:asciiTheme="minorHAnsi" w:hAnsiTheme="minorHAnsi" w:cstheme="minorHAnsi"/>
          <w:sz w:val="22"/>
          <w:szCs w:val="22"/>
        </w:rPr>
        <w:t>p</w:t>
      </w:r>
      <w:r w:rsidRPr="001A4702">
        <w:rPr>
          <w:rFonts w:asciiTheme="minorHAnsi" w:hAnsiTheme="minorHAnsi" w:cstheme="minorHAnsi"/>
          <w:sz w:val="22"/>
          <w:szCs w:val="22"/>
        </w:rPr>
        <w:t xml:space="preserve">lan than they would have under traditional Medicaid, the state makes a wrap-around payment to </w:t>
      </w:r>
      <w:r>
        <w:rPr>
          <w:rFonts w:asciiTheme="minorHAnsi" w:hAnsiTheme="minorHAnsi" w:cstheme="minorHAnsi"/>
          <w:sz w:val="22"/>
          <w:szCs w:val="22"/>
        </w:rPr>
        <w:t>cover the difference</w:t>
      </w:r>
      <w:r w:rsidRPr="001A4702">
        <w:rPr>
          <w:rFonts w:asciiTheme="minorHAnsi" w:hAnsiTheme="minorHAnsi" w:cstheme="minorHAnsi"/>
          <w:sz w:val="22"/>
          <w:szCs w:val="22"/>
        </w:rPr>
        <w:t xml:space="preserve">.  If the plan paid the same </w:t>
      </w:r>
      <w:r>
        <w:rPr>
          <w:rFonts w:asciiTheme="minorHAnsi" w:hAnsiTheme="minorHAnsi" w:cstheme="minorHAnsi"/>
          <w:sz w:val="22"/>
          <w:szCs w:val="22"/>
        </w:rPr>
        <w:t xml:space="preserve">as </w:t>
      </w:r>
      <w:r w:rsidRPr="001A4702">
        <w:rPr>
          <w:rFonts w:asciiTheme="minorHAnsi" w:hAnsiTheme="minorHAnsi" w:cstheme="minorHAnsi"/>
          <w:sz w:val="22"/>
          <w:szCs w:val="22"/>
        </w:rPr>
        <w:t>or more than what the RHC would have received, no wrap-around payment is necessary.</w:t>
      </w:r>
    </w:p>
    <w:p w:rsidR="001A4702" w:rsidRPr="001A4702" w:rsidRDefault="001A4702" w:rsidP="00B31D0C">
      <w:pPr>
        <w:rPr>
          <w:rFonts w:cstheme="minorHAnsi"/>
          <w:b/>
        </w:rPr>
      </w:pPr>
    </w:p>
    <w:sectPr w:rsidR="001A4702" w:rsidRPr="001A4702" w:rsidSect="003524F8">
      <w:pgSz w:w="12240" w:h="15840"/>
      <w:pgMar w:top="576" w:right="576" w:bottom="576" w:left="6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7021"/>
    <w:multiLevelType w:val="hybridMultilevel"/>
    <w:tmpl w:val="D0C4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1349E"/>
    <w:multiLevelType w:val="hybridMultilevel"/>
    <w:tmpl w:val="3BE64908"/>
    <w:lvl w:ilvl="0" w:tplc="DFE6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E0D42"/>
    <w:multiLevelType w:val="hybridMultilevel"/>
    <w:tmpl w:val="93F6E7EC"/>
    <w:lvl w:ilvl="0" w:tplc="BF08202C">
      <w:start w:val="52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D4EED"/>
    <w:multiLevelType w:val="hybridMultilevel"/>
    <w:tmpl w:val="5CF6C9FA"/>
    <w:lvl w:ilvl="0" w:tplc="2EDAA956">
      <w:start w:val="1"/>
      <w:numFmt w:val="bullet"/>
      <w:lvlText w:val=""/>
      <w:lvlJc w:val="left"/>
      <w:pPr>
        <w:tabs>
          <w:tab w:val="num" w:pos="720"/>
        </w:tabs>
        <w:ind w:left="720" w:hanging="360"/>
      </w:pPr>
      <w:rPr>
        <w:rFonts w:ascii="Wingdings" w:hAnsi="Wingdings" w:hint="default"/>
      </w:rPr>
    </w:lvl>
    <w:lvl w:ilvl="1" w:tplc="B358C140" w:tentative="1">
      <w:start w:val="1"/>
      <w:numFmt w:val="bullet"/>
      <w:lvlText w:val=""/>
      <w:lvlJc w:val="left"/>
      <w:pPr>
        <w:tabs>
          <w:tab w:val="num" w:pos="1440"/>
        </w:tabs>
        <w:ind w:left="1440" w:hanging="360"/>
      </w:pPr>
      <w:rPr>
        <w:rFonts w:ascii="Wingdings" w:hAnsi="Wingdings" w:hint="default"/>
      </w:rPr>
    </w:lvl>
    <w:lvl w:ilvl="2" w:tplc="45CAC2AA" w:tentative="1">
      <w:start w:val="1"/>
      <w:numFmt w:val="bullet"/>
      <w:lvlText w:val=""/>
      <w:lvlJc w:val="left"/>
      <w:pPr>
        <w:tabs>
          <w:tab w:val="num" w:pos="2160"/>
        </w:tabs>
        <w:ind w:left="2160" w:hanging="360"/>
      </w:pPr>
      <w:rPr>
        <w:rFonts w:ascii="Wingdings" w:hAnsi="Wingdings" w:hint="default"/>
      </w:rPr>
    </w:lvl>
    <w:lvl w:ilvl="3" w:tplc="ADCABD62" w:tentative="1">
      <w:start w:val="1"/>
      <w:numFmt w:val="bullet"/>
      <w:lvlText w:val=""/>
      <w:lvlJc w:val="left"/>
      <w:pPr>
        <w:tabs>
          <w:tab w:val="num" w:pos="2880"/>
        </w:tabs>
        <w:ind w:left="2880" w:hanging="360"/>
      </w:pPr>
      <w:rPr>
        <w:rFonts w:ascii="Wingdings" w:hAnsi="Wingdings" w:hint="default"/>
      </w:rPr>
    </w:lvl>
    <w:lvl w:ilvl="4" w:tplc="0168433A" w:tentative="1">
      <w:start w:val="1"/>
      <w:numFmt w:val="bullet"/>
      <w:lvlText w:val=""/>
      <w:lvlJc w:val="left"/>
      <w:pPr>
        <w:tabs>
          <w:tab w:val="num" w:pos="3600"/>
        </w:tabs>
        <w:ind w:left="3600" w:hanging="360"/>
      </w:pPr>
      <w:rPr>
        <w:rFonts w:ascii="Wingdings" w:hAnsi="Wingdings" w:hint="default"/>
      </w:rPr>
    </w:lvl>
    <w:lvl w:ilvl="5" w:tplc="7DFE055E" w:tentative="1">
      <w:start w:val="1"/>
      <w:numFmt w:val="bullet"/>
      <w:lvlText w:val=""/>
      <w:lvlJc w:val="left"/>
      <w:pPr>
        <w:tabs>
          <w:tab w:val="num" w:pos="4320"/>
        </w:tabs>
        <w:ind w:left="4320" w:hanging="360"/>
      </w:pPr>
      <w:rPr>
        <w:rFonts w:ascii="Wingdings" w:hAnsi="Wingdings" w:hint="default"/>
      </w:rPr>
    </w:lvl>
    <w:lvl w:ilvl="6" w:tplc="5262D234" w:tentative="1">
      <w:start w:val="1"/>
      <w:numFmt w:val="bullet"/>
      <w:lvlText w:val=""/>
      <w:lvlJc w:val="left"/>
      <w:pPr>
        <w:tabs>
          <w:tab w:val="num" w:pos="5040"/>
        </w:tabs>
        <w:ind w:left="5040" w:hanging="360"/>
      </w:pPr>
      <w:rPr>
        <w:rFonts w:ascii="Wingdings" w:hAnsi="Wingdings" w:hint="default"/>
      </w:rPr>
    </w:lvl>
    <w:lvl w:ilvl="7" w:tplc="A864B5A8" w:tentative="1">
      <w:start w:val="1"/>
      <w:numFmt w:val="bullet"/>
      <w:lvlText w:val=""/>
      <w:lvlJc w:val="left"/>
      <w:pPr>
        <w:tabs>
          <w:tab w:val="num" w:pos="5760"/>
        </w:tabs>
        <w:ind w:left="5760" w:hanging="360"/>
      </w:pPr>
      <w:rPr>
        <w:rFonts w:ascii="Wingdings" w:hAnsi="Wingdings" w:hint="default"/>
      </w:rPr>
    </w:lvl>
    <w:lvl w:ilvl="8" w:tplc="62CA5EB0" w:tentative="1">
      <w:start w:val="1"/>
      <w:numFmt w:val="bullet"/>
      <w:lvlText w:val=""/>
      <w:lvlJc w:val="left"/>
      <w:pPr>
        <w:tabs>
          <w:tab w:val="num" w:pos="6480"/>
        </w:tabs>
        <w:ind w:left="6480" w:hanging="360"/>
      </w:pPr>
      <w:rPr>
        <w:rFonts w:ascii="Wingdings" w:hAnsi="Wingdings" w:hint="default"/>
      </w:rPr>
    </w:lvl>
  </w:abstractNum>
  <w:abstractNum w:abstractNumId="4">
    <w:nsid w:val="3187456B"/>
    <w:multiLevelType w:val="hybridMultilevel"/>
    <w:tmpl w:val="A2EE1176"/>
    <w:lvl w:ilvl="0" w:tplc="634EFD0E">
      <w:start w:val="1"/>
      <w:numFmt w:val="bullet"/>
      <w:lvlText w:val="o"/>
      <w:lvlJc w:val="left"/>
      <w:pPr>
        <w:tabs>
          <w:tab w:val="num" w:pos="720"/>
        </w:tabs>
        <w:ind w:left="720" w:hanging="360"/>
      </w:pPr>
      <w:rPr>
        <w:rFonts w:ascii="Courier New" w:hAnsi="Courier New" w:hint="default"/>
      </w:rPr>
    </w:lvl>
    <w:lvl w:ilvl="1" w:tplc="B030C5A4" w:tentative="1">
      <w:start w:val="1"/>
      <w:numFmt w:val="bullet"/>
      <w:lvlText w:val="o"/>
      <w:lvlJc w:val="left"/>
      <w:pPr>
        <w:tabs>
          <w:tab w:val="num" w:pos="1440"/>
        </w:tabs>
        <w:ind w:left="1440" w:hanging="360"/>
      </w:pPr>
      <w:rPr>
        <w:rFonts w:ascii="Courier New" w:hAnsi="Courier New" w:hint="default"/>
      </w:rPr>
    </w:lvl>
    <w:lvl w:ilvl="2" w:tplc="D548E00C" w:tentative="1">
      <w:start w:val="1"/>
      <w:numFmt w:val="bullet"/>
      <w:lvlText w:val="o"/>
      <w:lvlJc w:val="left"/>
      <w:pPr>
        <w:tabs>
          <w:tab w:val="num" w:pos="2160"/>
        </w:tabs>
        <w:ind w:left="2160" w:hanging="360"/>
      </w:pPr>
      <w:rPr>
        <w:rFonts w:ascii="Courier New" w:hAnsi="Courier New" w:hint="default"/>
      </w:rPr>
    </w:lvl>
    <w:lvl w:ilvl="3" w:tplc="DC846BA2" w:tentative="1">
      <w:start w:val="1"/>
      <w:numFmt w:val="bullet"/>
      <w:lvlText w:val="o"/>
      <w:lvlJc w:val="left"/>
      <w:pPr>
        <w:tabs>
          <w:tab w:val="num" w:pos="2880"/>
        </w:tabs>
        <w:ind w:left="2880" w:hanging="360"/>
      </w:pPr>
      <w:rPr>
        <w:rFonts w:ascii="Courier New" w:hAnsi="Courier New" w:hint="default"/>
      </w:rPr>
    </w:lvl>
    <w:lvl w:ilvl="4" w:tplc="B03C65C8" w:tentative="1">
      <w:start w:val="1"/>
      <w:numFmt w:val="bullet"/>
      <w:lvlText w:val="o"/>
      <w:lvlJc w:val="left"/>
      <w:pPr>
        <w:tabs>
          <w:tab w:val="num" w:pos="3600"/>
        </w:tabs>
        <w:ind w:left="3600" w:hanging="360"/>
      </w:pPr>
      <w:rPr>
        <w:rFonts w:ascii="Courier New" w:hAnsi="Courier New" w:hint="default"/>
      </w:rPr>
    </w:lvl>
    <w:lvl w:ilvl="5" w:tplc="33A00672" w:tentative="1">
      <w:start w:val="1"/>
      <w:numFmt w:val="bullet"/>
      <w:lvlText w:val="o"/>
      <w:lvlJc w:val="left"/>
      <w:pPr>
        <w:tabs>
          <w:tab w:val="num" w:pos="4320"/>
        </w:tabs>
        <w:ind w:left="4320" w:hanging="360"/>
      </w:pPr>
      <w:rPr>
        <w:rFonts w:ascii="Courier New" w:hAnsi="Courier New" w:hint="default"/>
      </w:rPr>
    </w:lvl>
    <w:lvl w:ilvl="6" w:tplc="C7D61028" w:tentative="1">
      <w:start w:val="1"/>
      <w:numFmt w:val="bullet"/>
      <w:lvlText w:val="o"/>
      <w:lvlJc w:val="left"/>
      <w:pPr>
        <w:tabs>
          <w:tab w:val="num" w:pos="5040"/>
        </w:tabs>
        <w:ind w:left="5040" w:hanging="360"/>
      </w:pPr>
      <w:rPr>
        <w:rFonts w:ascii="Courier New" w:hAnsi="Courier New" w:hint="default"/>
      </w:rPr>
    </w:lvl>
    <w:lvl w:ilvl="7" w:tplc="1346C374" w:tentative="1">
      <w:start w:val="1"/>
      <w:numFmt w:val="bullet"/>
      <w:lvlText w:val="o"/>
      <w:lvlJc w:val="left"/>
      <w:pPr>
        <w:tabs>
          <w:tab w:val="num" w:pos="5760"/>
        </w:tabs>
        <w:ind w:left="5760" w:hanging="360"/>
      </w:pPr>
      <w:rPr>
        <w:rFonts w:ascii="Courier New" w:hAnsi="Courier New" w:hint="default"/>
      </w:rPr>
    </w:lvl>
    <w:lvl w:ilvl="8" w:tplc="BFF22C54" w:tentative="1">
      <w:start w:val="1"/>
      <w:numFmt w:val="bullet"/>
      <w:lvlText w:val="o"/>
      <w:lvlJc w:val="left"/>
      <w:pPr>
        <w:tabs>
          <w:tab w:val="num" w:pos="6480"/>
        </w:tabs>
        <w:ind w:left="6480" w:hanging="360"/>
      </w:pPr>
      <w:rPr>
        <w:rFonts w:ascii="Courier New" w:hAnsi="Courier New" w:hint="default"/>
      </w:rPr>
    </w:lvl>
  </w:abstractNum>
  <w:abstractNum w:abstractNumId="5">
    <w:nsid w:val="33C12514"/>
    <w:multiLevelType w:val="hybridMultilevel"/>
    <w:tmpl w:val="858A96EC"/>
    <w:lvl w:ilvl="0" w:tplc="5CF2169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64525"/>
    <w:multiLevelType w:val="multilevel"/>
    <w:tmpl w:val="A51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C6C15"/>
    <w:multiLevelType w:val="hybridMultilevel"/>
    <w:tmpl w:val="72F0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3E0B"/>
    <w:multiLevelType w:val="hybridMultilevel"/>
    <w:tmpl w:val="D70C646E"/>
    <w:lvl w:ilvl="0" w:tplc="5FFA6B52">
      <w:start w:val="1"/>
      <w:numFmt w:val="bullet"/>
      <w:lvlText w:val="•"/>
      <w:lvlJc w:val="left"/>
      <w:pPr>
        <w:tabs>
          <w:tab w:val="num" w:pos="720"/>
        </w:tabs>
        <w:ind w:left="720" w:hanging="360"/>
      </w:pPr>
      <w:rPr>
        <w:rFonts w:ascii="Times New Roman" w:hAnsi="Times New Roman" w:hint="default"/>
      </w:rPr>
    </w:lvl>
    <w:lvl w:ilvl="1" w:tplc="9BFEEB5C" w:tentative="1">
      <w:start w:val="1"/>
      <w:numFmt w:val="bullet"/>
      <w:lvlText w:val="•"/>
      <w:lvlJc w:val="left"/>
      <w:pPr>
        <w:tabs>
          <w:tab w:val="num" w:pos="1440"/>
        </w:tabs>
        <w:ind w:left="1440" w:hanging="360"/>
      </w:pPr>
      <w:rPr>
        <w:rFonts w:ascii="Times New Roman" w:hAnsi="Times New Roman" w:hint="default"/>
      </w:rPr>
    </w:lvl>
    <w:lvl w:ilvl="2" w:tplc="CB64501E" w:tentative="1">
      <w:start w:val="1"/>
      <w:numFmt w:val="bullet"/>
      <w:lvlText w:val="•"/>
      <w:lvlJc w:val="left"/>
      <w:pPr>
        <w:tabs>
          <w:tab w:val="num" w:pos="2160"/>
        </w:tabs>
        <w:ind w:left="2160" w:hanging="360"/>
      </w:pPr>
      <w:rPr>
        <w:rFonts w:ascii="Times New Roman" w:hAnsi="Times New Roman" w:hint="default"/>
      </w:rPr>
    </w:lvl>
    <w:lvl w:ilvl="3" w:tplc="240069C0" w:tentative="1">
      <w:start w:val="1"/>
      <w:numFmt w:val="bullet"/>
      <w:lvlText w:val="•"/>
      <w:lvlJc w:val="left"/>
      <w:pPr>
        <w:tabs>
          <w:tab w:val="num" w:pos="2880"/>
        </w:tabs>
        <w:ind w:left="2880" w:hanging="360"/>
      </w:pPr>
      <w:rPr>
        <w:rFonts w:ascii="Times New Roman" w:hAnsi="Times New Roman" w:hint="default"/>
      </w:rPr>
    </w:lvl>
    <w:lvl w:ilvl="4" w:tplc="414A1A04" w:tentative="1">
      <w:start w:val="1"/>
      <w:numFmt w:val="bullet"/>
      <w:lvlText w:val="•"/>
      <w:lvlJc w:val="left"/>
      <w:pPr>
        <w:tabs>
          <w:tab w:val="num" w:pos="3600"/>
        </w:tabs>
        <w:ind w:left="3600" w:hanging="360"/>
      </w:pPr>
      <w:rPr>
        <w:rFonts w:ascii="Times New Roman" w:hAnsi="Times New Roman" w:hint="default"/>
      </w:rPr>
    </w:lvl>
    <w:lvl w:ilvl="5" w:tplc="6DA6E53C" w:tentative="1">
      <w:start w:val="1"/>
      <w:numFmt w:val="bullet"/>
      <w:lvlText w:val="•"/>
      <w:lvlJc w:val="left"/>
      <w:pPr>
        <w:tabs>
          <w:tab w:val="num" w:pos="4320"/>
        </w:tabs>
        <w:ind w:left="4320" w:hanging="360"/>
      </w:pPr>
      <w:rPr>
        <w:rFonts w:ascii="Times New Roman" w:hAnsi="Times New Roman" w:hint="default"/>
      </w:rPr>
    </w:lvl>
    <w:lvl w:ilvl="6" w:tplc="B254C458" w:tentative="1">
      <w:start w:val="1"/>
      <w:numFmt w:val="bullet"/>
      <w:lvlText w:val="•"/>
      <w:lvlJc w:val="left"/>
      <w:pPr>
        <w:tabs>
          <w:tab w:val="num" w:pos="5040"/>
        </w:tabs>
        <w:ind w:left="5040" w:hanging="360"/>
      </w:pPr>
      <w:rPr>
        <w:rFonts w:ascii="Times New Roman" w:hAnsi="Times New Roman" w:hint="default"/>
      </w:rPr>
    </w:lvl>
    <w:lvl w:ilvl="7" w:tplc="05747DF0" w:tentative="1">
      <w:start w:val="1"/>
      <w:numFmt w:val="bullet"/>
      <w:lvlText w:val="•"/>
      <w:lvlJc w:val="left"/>
      <w:pPr>
        <w:tabs>
          <w:tab w:val="num" w:pos="5760"/>
        </w:tabs>
        <w:ind w:left="5760" w:hanging="360"/>
      </w:pPr>
      <w:rPr>
        <w:rFonts w:ascii="Times New Roman" w:hAnsi="Times New Roman" w:hint="default"/>
      </w:rPr>
    </w:lvl>
    <w:lvl w:ilvl="8" w:tplc="E070D4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CA56BD4"/>
    <w:multiLevelType w:val="hybridMultilevel"/>
    <w:tmpl w:val="4C40A168"/>
    <w:lvl w:ilvl="0" w:tplc="BF08202C">
      <w:start w:val="52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AFB98"/>
    <w:multiLevelType w:val="hybridMultilevel"/>
    <w:tmpl w:val="59983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0710DE0"/>
    <w:multiLevelType w:val="hybridMultilevel"/>
    <w:tmpl w:val="DF0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A7135"/>
    <w:multiLevelType w:val="hybridMultilevel"/>
    <w:tmpl w:val="A790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14D20"/>
    <w:multiLevelType w:val="hybridMultilevel"/>
    <w:tmpl w:val="12606AE4"/>
    <w:lvl w:ilvl="0" w:tplc="49F22F9E">
      <w:start w:val="1"/>
      <w:numFmt w:val="bullet"/>
      <w:lvlText w:val="•"/>
      <w:lvlJc w:val="left"/>
      <w:pPr>
        <w:tabs>
          <w:tab w:val="num" w:pos="720"/>
        </w:tabs>
        <w:ind w:left="720" w:hanging="360"/>
      </w:pPr>
      <w:rPr>
        <w:rFonts w:ascii="Times New Roman" w:hAnsi="Times New Roman" w:hint="default"/>
      </w:rPr>
    </w:lvl>
    <w:lvl w:ilvl="1" w:tplc="33826DEA" w:tentative="1">
      <w:start w:val="1"/>
      <w:numFmt w:val="bullet"/>
      <w:lvlText w:val="•"/>
      <w:lvlJc w:val="left"/>
      <w:pPr>
        <w:tabs>
          <w:tab w:val="num" w:pos="1440"/>
        </w:tabs>
        <w:ind w:left="1440" w:hanging="360"/>
      </w:pPr>
      <w:rPr>
        <w:rFonts w:ascii="Times New Roman" w:hAnsi="Times New Roman" w:hint="default"/>
      </w:rPr>
    </w:lvl>
    <w:lvl w:ilvl="2" w:tplc="35429258" w:tentative="1">
      <w:start w:val="1"/>
      <w:numFmt w:val="bullet"/>
      <w:lvlText w:val="•"/>
      <w:lvlJc w:val="left"/>
      <w:pPr>
        <w:tabs>
          <w:tab w:val="num" w:pos="2160"/>
        </w:tabs>
        <w:ind w:left="2160" w:hanging="360"/>
      </w:pPr>
      <w:rPr>
        <w:rFonts w:ascii="Times New Roman" w:hAnsi="Times New Roman" w:hint="default"/>
      </w:rPr>
    </w:lvl>
    <w:lvl w:ilvl="3" w:tplc="E2E064FE" w:tentative="1">
      <w:start w:val="1"/>
      <w:numFmt w:val="bullet"/>
      <w:lvlText w:val="•"/>
      <w:lvlJc w:val="left"/>
      <w:pPr>
        <w:tabs>
          <w:tab w:val="num" w:pos="2880"/>
        </w:tabs>
        <w:ind w:left="2880" w:hanging="360"/>
      </w:pPr>
      <w:rPr>
        <w:rFonts w:ascii="Times New Roman" w:hAnsi="Times New Roman" w:hint="default"/>
      </w:rPr>
    </w:lvl>
    <w:lvl w:ilvl="4" w:tplc="CC7AF6F2" w:tentative="1">
      <w:start w:val="1"/>
      <w:numFmt w:val="bullet"/>
      <w:lvlText w:val="•"/>
      <w:lvlJc w:val="left"/>
      <w:pPr>
        <w:tabs>
          <w:tab w:val="num" w:pos="3600"/>
        </w:tabs>
        <w:ind w:left="3600" w:hanging="360"/>
      </w:pPr>
      <w:rPr>
        <w:rFonts w:ascii="Times New Roman" w:hAnsi="Times New Roman" w:hint="default"/>
      </w:rPr>
    </w:lvl>
    <w:lvl w:ilvl="5" w:tplc="5C3AB6FC" w:tentative="1">
      <w:start w:val="1"/>
      <w:numFmt w:val="bullet"/>
      <w:lvlText w:val="•"/>
      <w:lvlJc w:val="left"/>
      <w:pPr>
        <w:tabs>
          <w:tab w:val="num" w:pos="4320"/>
        </w:tabs>
        <w:ind w:left="4320" w:hanging="360"/>
      </w:pPr>
      <w:rPr>
        <w:rFonts w:ascii="Times New Roman" w:hAnsi="Times New Roman" w:hint="default"/>
      </w:rPr>
    </w:lvl>
    <w:lvl w:ilvl="6" w:tplc="6BF62456" w:tentative="1">
      <w:start w:val="1"/>
      <w:numFmt w:val="bullet"/>
      <w:lvlText w:val="•"/>
      <w:lvlJc w:val="left"/>
      <w:pPr>
        <w:tabs>
          <w:tab w:val="num" w:pos="5040"/>
        </w:tabs>
        <w:ind w:left="5040" w:hanging="360"/>
      </w:pPr>
      <w:rPr>
        <w:rFonts w:ascii="Times New Roman" w:hAnsi="Times New Roman" w:hint="default"/>
      </w:rPr>
    </w:lvl>
    <w:lvl w:ilvl="7" w:tplc="4DEA8178" w:tentative="1">
      <w:start w:val="1"/>
      <w:numFmt w:val="bullet"/>
      <w:lvlText w:val="•"/>
      <w:lvlJc w:val="left"/>
      <w:pPr>
        <w:tabs>
          <w:tab w:val="num" w:pos="5760"/>
        </w:tabs>
        <w:ind w:left="5760" w:hanging="360"/>
      </w:pPr>
      <w:rPr>
        <w:rFonts w:ascii="Times New Roman" w:hAnsi="Times New Roman" w:hint="default"/>
      </w:rPr>
    </w:lvl>
    <w:lvl w:ilvl="8" w:tplc="628C085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F2B05EA"/>
    <w:multiLevelType w:val="hybridMultilevel"/>
    <w:tmpl w:val="17240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A4669"/>
    <w:multiLevelType w:val="hybridMultilevel"/>
    <w:tmpl w:val="DB16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6239B"/>
    <w:multiLevelType w:val="hybridMultilevel"/>
    <w:tmpl w:val="584A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B024A6D"/>
    <w:multiLevelType w:val="hybridMultilevel"/>
    <w:tmpl w:val="141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54A1A"/>
    <w:multiLevelType w:val="hybridMultilevel"/>
    <w:tmpl w:val="244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4"/>
  </w:num>
  <w:num w:numId="6">
    <w:abstractNumId w:val="13"/>
  </w:num>
  <w:num w:numId="7">
    <w:abstractNumId w:val="15"/>
  </w:num>
  <w:num w:numId="8">
    <w:abstractNumId w:val="18"/>
  </w:num>
  <w:num w:numId="9">
    <w:abstractNumId w:val="0"/>
  </w:num>
  <w:num w:numId="10">
    <w:abstractNumId w:val="12"/>
  </w:num>
  <w:num w:numId="11">
    <w:abstractNumId w:val="3"/>
  </w:num>
  <w:num w:numId="12">
    <w:abstractNumId w:val="17"/>
  </w:num>
  <w:num w:numId="13">
    <w:abstractNumId w:val="14"/>
  </w:num>
  <w:num w:numId="14">
    <w:abstractNumId w:val="5"/>
  </w:num>
  <w:num w:numId="15">
    <w:abstractNumId w:val="1"/>
  </w:num>
  <w:num w:numId="16">
    <w:abstractNumId w:val="16"/>
  </w:num>
  <w:num w:numId="17">
    <w:abstractNumId w:val="2"/>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3"/>
    <w:rsid w:val="00003C1A"/>
    <w:rsid w:val="0000781A"/>
    <w:rsid w:val="00012FB5"/>
    <w:rsid w:val="00015D90"/>
    <w:rsid w:val="00016DAF"/>
    <w:rsid w:val="00030999"/>
    <w:rsid w:val="000320CF"/>
    <w:rsid w:val="00032CC8"/>
    <w:rsid w:val="00046E8A"/>
    <w:rsid w:val="00047375"/>
    <w:rsid w:val="000522EF"/>
    <w:rsid w:val="000542BB"/>
    <w:rsid w:val="00060C75"/>
    <w:rsid w:val="00064E4B"/>
    <w:rsid w:val="00073611"/>
    <w:rsid w:val="0007370D"/>
    <w:rsid w:val="0007677C"/>
    <w:rsid w:val="00080BBD"/>
    <w:rsid w:val="00084399"/>
    <w:rsid w:val="00084E4A"/>
    <w:rsid w:val="000863A7"/>
    <w:rsid w:val="000A040F"/>
    <w:rsid w:val="000A1FBE"/>
    <w:rsid w:val="000A3E9A"/>
    <w:rsid w:val="000A5265"/>
    <w:rsid w:val="000A5C0B"/>
    <w:rsid w:val="000B3673"/>
    <w:rsid w:val="000B688B"/>
    <w:rsid w:val="000C4002"/>
    <w:rsid w:val="000C557A"/>
    <w:rsid w:val="000C5D80"/>
    <w:rsid w:val="000C5F3A"/>
    <w:rsid w:val="000C729A"/>
    <w:rsid w:val="000D03CD"/>
    <w:rsid w:val="0010008D"/>
    <w:rsid w:val="00106BCA"/>
    <w:rsid w:val="001109E1"/>
    <w:rsid w:val="0011176E"/>
    <w:rsid w:val="00112C01"/>
    <w:rsid w:val="001312A0"/>
    <w:rsid w:val="001348AA"/>
    <w:rsid w:val="00136BF0"/>
    <w:rsid w:val="00136F86"/>
    <w:rsid w:val="001406E6"/>
    <w:rsid w:val="001457A1"/>
    <w:rsid w:val="00154A32"/>
    <w:rsid w:val="00154D93"/>
    <w:rsid w:val="0016363A"/>
    <w:rsid w:val="0016364E"/>
    <w:rsid w:val="00171EF5"/>
    <w:rsid w:val="00172772"/>
    <w:rsid w:val="00177CE1"/>
    <w:rsid w:val="00182399"/>
    <w:rsid w:val="00190DB0"/>
    <w:rsid w:val="00192A52"/>
    <w:rsid w:val="00196EEA"/>
    <w:rsid w:val="001A02EC"/>
    <w:rsid w:val="001A4702"/>
    <w:rsid w:val="001B4327"/>
    <w:rsid w:val="001D20C8"/>
    <w:rsid w:val="001D4C78"/>
    <w:rsid w:val="001D5498"/>
    <w:rsid w:val="001E2077"/>
    <w:rsid w:val="001E3BDE"/>
    <w:rsid w:val="0020257A"/>
    <w:rsid w:val="002045F8"/>
    <w:rsid w:val="00212D19"/>
    <w:rsid w:val="00220F6D"/>
    <w:rsid w:val="00226906"/>
    <w:rsid w:val="00227ABD"/>
    <w:rsid w:val="00227DCB"/>
    <w:rsid w:val="00231086"/>
    <w:rsid w:val="00231129"/>
    <w:rsid w:val="00234D90"/>
    <w:rsid w:val="00240341"/>
    <w:rsid w:val="00245A61"/>
    <w:rsid w:val="00261730"/>
    <w:rsid w:val="0026439E"/>
    <w:rsid w:val="0026460A"/>
    <w:rsid w:val="00265446"/>
    <w:rsid w:val="0026684F"/>
    <w:rsid w:val="00270738"/>
    <w:rsid w:val="00274048"/>
    <w:rsid w:val="0028311E"/>
    <w:rsid w:val="002851E9"/>
    <w:rsid w:val="00287831"/>
    <w:rsid w:val="00294008"/>
    <w:rsid w:val="00295BA8"/>
    <w:rsid w:val="002B6C10"/>
    <w:rsid w:val="002C2907"/>
    <w:rsid w:val="002C307B"/>
    <w:rsid w:val="002D6F38"/>
    <w:rsid w:val="002E3C4C"/>
    <w:rsid w:val="00310935"/>
    <w:rsid w:val="00320620"/>
    <w:rsid w:val="00320C4D"/>
    <w:rsid w:val="00322DAF"/>
    <w:rsid w:val="00323A57"/>
    <w:rsid w:val="00325B3A"/>
    <w:rsid w:val="0032620D"/>
    <w:rsid w:val="0032758F"/>
    <w:rsid w:val="0033635C"/>
    <w:rsid w:val="00344727"/>
    <w:rsid w:val="00347813"/>
    <w:rsid w:val="00350D66"/>
    <w:rsid w:val="003524F8"/>
    <w:rsid w:val="0035787B"/>
    <w:rsid w:val="003637BD"/>
    <w:rsid w:val="0037730F"/>
    <w:rsid w:val="00377A01"/>
    <w:rsid w:val="0038245E"/>
    <w:rsid w:val="0038702E"/>
    <w:rsid w:val="00387AC3"/>
    <w:rsid w:val="00391F38"/>
    <w:rsid w:val="003A651D"/>
    <w:rsid w:val="003B1258"/>
    <w:rsid w:val="003B26D0"/>
    <w:rsid w:val="003B3FAA"/>
    <w:rsid w:val="003C4E07"/>
    <w:rsid w:val="003D47DE"/>
    <w:rsid w:val="003D6A80"/>
    <w:rsid w:val="003E28E5"/>
    <w:rsid w:val="003E2C61"/>
    <w:rsid w:val="003E3DD3"/>
    <w:rsid w:val="003E6FFB"/>
    <w:rsid w:val="003E701E"/>
    <w:rsid w:val="00421FD1"/>
    <w:rsid w:val="00424D7B"/>
    <w:rsid w:val="0042783B"/>
    <w:rsid w:val="0043339C"/>
    <w:rsid w:val="004376F3"/>
    <w:rsid w:val="00440E09"/>
    <w:rsid w:val="00446F3D"/>
    <w:rsid w:val="004554C3"/>
    <w:rsid w:val="00455ED7"/>
    <w:rsid w:val="00461D8B"/>
    <w:rsid w:val="00462B1B"/>
    <w:rsid w:val="004636E7"/>
    <w:rsid w:val="00470597"/>
    <w:rsid w:val="004721F8"/>
    <w:rsid w:val="00481A93"/>
    <w:rsid w:val="00494AE1"/>
    <w:rsid w:val="004A23E3"/>
    <w:rsid w:val="004A49ED"/>
    <w:rsid w:val="004B2D4B"/>
    <w:rsid w:val="004B51EF"/>
    <w:rsid w:val="004B6D0E"/>
    <w:rsid w:val="004C51B0"/>
    <w:rsid w:val="004C677C"/>
    <w:rsid w:val="004C70D0"/>
    <w:rsid w:val="004D002A"/>
    <w:rsid w:val="004E628C"/>
    <w:rsid w:val="004F6E0C"/>
    <w:rsid w:val="00501110"/>
    <w:rsid w:val="00502E9C"/>
    <w:rsid w:val="005043AB"/>
    <w:rsid w:val="00505D74"/>
    <w:rsid w:val="00506B1B"/>
    <w:rsid w:val="00510F58"/>
    <w:rsid w:val="00524F9F"/>
    <w:rsid w:val="00535D62"/>
    <w:rsid w:val="00537C60"/>
    <w:rsid w:val="00541ABC"/>
    <w:rsid w:val="005440A6"/>
    <w:rsid w:val="00546EE0"/>
    <w:rsid w:val="00550378"/>
    <w:rsid w:val="00551C8F"/>
    <w:rsid w:val="005601D8"/>
    <w:rsid w:val="005601F9"/>
    <w:rsid w:val="00571D3A"/>
    <w:rsid w:val="00580753"/>
    <w:rsid w:val="005951F9"/>
    <w:rsid w:val="005A109D"/>
    <w:rsid w:val="005B3F3A"/>
    <w:rsid w:val="005B680E"/>
    <w:rsid w:val="005B6B8B"/>
    <w:rsid w:val="005B79D9"/>
    <w:rsid w:val="005D5F84"/>
    <w:rsid w:val="005D681D"/>
    <w:rsid w:val="005E3491"/>
    <w:rsid w:val="005E58B6"/>
    <w:rsid w:val="005F038B"/>
    <w:rsid w:val="005F1C1D"/>
    <w:rsid w:val="005F21F4"/>
    <w:rsid w:val="0060015A"/>
    <w:rsid w:val="0060620E"/>
    <w:rsid w:val="0061022B"/>
    <w:rsid w:val="00614E6A"/>
    <w:rsid w:val="00624F62"/>
    <w:rsid w:val="006254AF"/>
    <w:rsid w:val="00627132"/>
    <w:rsid w:val="00642D99"/>
    <w:rsid w:val="006473F5"/>
    <w:rsid w:val="006505CB"/>
    <w:rsid w:val="00652BFC"/>
    <w:rsid w:val="00653FA6"/>
    <w:rsid w:val="00663A7E"/>
    <w:rsid w:val="006702C5"/>
    <w:rsid w:val="00672E2C"/>
    <w:rsid w:val="006732BB"/>
    <w:rsid w:val="00685150"/>
    <w:rsid w:val="006A0936"/>
    <w:rsid w:val="006A5978"/>
    <w:rsid w:val="006B0F7F"/>
    <w:rsid w:val="006B7E3A"/>
    <w:rsid w:val="006D1B16"/>
    <w:rsid w:val="006E4702"/>
    <w:rsid w:val="006F0AC9"/>
    <w:rsid w:val="006F104C"/>
    <w:rsid w:val="006F4F17"/>
    <w:rsid w:val="006F697C"/>
    <w:rsid w:val="00703852"/>
    <w:rsid w:val="007039E3"/>
    <w:rsid w:val="00706273"/>
    <w:rsid w:val="00706296"/>
    <w:rsid w:val="00712364"/>
    <w:rsid w:val="007139AF"/>
    <w:rsid w:val="0071475F"/>
    <w:rsid w:val="0071585D"/>
    <w:rsid w:val="007247E1"/>
    <w:rsid w:val="00724B94"/>
    <w:rsid w:val="00725455"/>
    <w:rsid w:val="00725686"/>
    <w:rsid w:val="00726BFD"/>
    <w:rsid w:val="00727001"/>
    <w:rsid w:val="00727A5A"/>
    <w:rsid w:val="00741B51"/>
    <w:rsid w:val="00752F09"/>
    <w:rsid w:val="00762FA4"/>
    <w:rsid w:val="00767253"/>
    <w:rsid w:val="007747D9"/>
    <w:rsid w:val="00775EF4"/>
    <w:rsid w:val="007833DF"/>
    <w:rsid w:val="00795C4E"/>
    <w:rsid w:val="007970A7"/>
    <w:rsid w:val="007A13E1"/>
    <w:rsid w:val="007A288D"/>
    <w:rsid w:val="007A38B9"/>
    <w:rsid w:val="007B48DF"/>
    <w:rsid w:val="007C0634"/>
    <w:rsid w:val="007C4001"/>
    <w:rsid w:val="007E13EC"/>
    <w:rsid w:val="007E7D6B"/>
    <w:rsid w:val="008004A9"/>
    <w:rsid w:val="0080079C"/>
    <w:rsid w:val="00811F37"/>
    <w:rsid w:val="00817F12"/>
    <w:rsid w:val="00820104"/>
    <w:rsid w:val="008228BF"/>
    <w:rsid w:val="00827D93"/>
    <w:rsid w:val="008323AC"/>
    <w:rsid w:val="00835454"/>
    <w:rsid w:val="0084211E"/>
    <w:rsid w:val="0084235A"/>
    <w:rsid w:val="008540FC"/>
    <w:rsid w:val="00863108"/>
    <w:rsid w:val="008709A9"/>
    <w:rsid w:val="00872D17"/>
    <w:rsid w:val="00873778"/>
    <w:rsid w:val="00892364"/>
    <w:rsid w:val="008979BA"/>
    <w:rsid w:val="008B0CA1"/>
    <w:rsid w:val="008B1127"/>
    <w:rsid w:val="008B6C72"/>
    <w:rsid w:val="008C2E1C"/>
    <w:rsid w:val="008C5793"/>
    <w:rsid w:val="008C7E04"/>
    <w:rsid w:val="008D325A"/>
    <w:rsid w:val="008D7003"/>
    <w:rsid w:val="008E1103"/>
    <w:rsid w:val="008E3406"/>
    <w:rsid w:val="008E3C6B"/>
    <w:rsid w:val="008E4C94"/>
    <w:rsid w:val="008E5FD7"/>
    <w:rsid w:val="008F4A00"/>
    <w:rsid w:val="00900145"/>
    <w:rsid w:val="00900C24"/>
    <w:rsid w:val="00900E1F"/>
    <w:rsid w:val="00904618"/>
    <w:rsid w:val="009049C9"/>
    <w:rsid w:val="00905743"/>
    <w:rsid w:val="009105F9"/>
    <w:rsid w:val="00920D3E"/>
    <w:rsid w:val="00920E94"/>
    <w:rsid w:val="00925A9F"/>
    <w:rsid w:val="009326C5"/>
    <w:rsid w:val="00934F77"/>
    <w:rsid w:val="009372DF"/>
    <w:rsid w:val="00952FDD"/>
    <w:rsid w:val="0095420B"/>
    <w:rsid w:val="009727B9"/>
    <w:rsid w:val="00976A4D"/>
    <w:rsid w:val="009770B4"/>
    <w:rsid w:val="00980B8A"/>
    <w:rsid w:val="0099369F"/>
    <w:rsid w:val="00993A9C"/>
    <w:rsid w:val="00993EE8"/>
    <w:rsid w:val="009A3A68"/>
    <w:rsid w:val="009C02C9"/>
    <w:rsid w:val="009D662D"/>
    <w:rsid w:val="009D7FE0"/>
    <w:rsid w:val="009E4B55"/>
    <w:rsid w:val="009E649A"/>
    <w:rsid w:val="009F34AF"/>
    <w:rsid w:val="009F6957"/>
    <w:rsid w:val="00A017FC"/>
    <w:rsid w:val="00A03E9D"/>
    <w:rsid w:val="00A06469"/>
    <w:rsid w:val="00A06C75"/>
    <w:rsid w:val="00A210A9"/>
    <w:rsid w:val="00A21116"/>
    <w:rsid w:val="00A24500"/>
    <w:rsid w:val="00A2774F"/>
    <w:rsid w:val="00A35AB0"/>
    <w:rsid w:val="00A3631C"/>
    <w:rsid w:val="00A55825"/>
    <w:rsid w:val="00A5611C"/>
    <w:rsid w:val="00A57DA9"/>
    <w:rsid w:val="00A63688"/>
    <w:rsid w:val="00A64A35"/>
    <w:rsid w:val="00A6529F"/>
    <w:rsid w:val="00A73F80"/>
    <w:rsid w:val="00A74668"/>
    <w:rsid w:val="00A7733E"/>
    <w:rsid w:val="00A82A09"/>
    <w:rsid w:val="00A84673"/>
    <w:rsid w:val="00A84B81"/>
    <w:rsid w:val="00A858FE"/>
    <w:rsid w:val="00A85C9B"/>
    <w:rsid w:val="00A873E2"/>
    <w:rsid w:val="00A95C33"/>
    <w:rsid w:val="00A96536"/>
    <w:rsid w:val="00AA1357"/>
    <w:rsid w:val="00AA24AB"/>
    <w:rsid w:val="00AA7020"/>
    <w:rsid w:val="00AC1BF3"/>
    <w:rsid w:val="00AC46C9"/>
    <w:rsid w:val="00AD1559"/>
    <w:rsid w:val="00AD2058"/>
    <w:rsid w:val="00AE238F"/>
    <w:rsid w:val="00AF01E9"/>
    <w:rsid w:val="00AF62C9"/>
    <w:rsid w:val="00B06978"/>
    <w:rsid w:val="00B15D76"/>
    <w:rsid w:val="00B163F2"/>
    <w:rsid w:val="00B30856"/>
    <w:rsid w:val="00B31D0C"/>
    <w:rsid w:val="00B322DB"/>
    <w:rsid w:val="00B33C0A"/>
    <w:rsid w:val="00B35FE2"/>
    <w:rsid w:val="00B379D1"/>
    <w:rsid w:val="00B41E58"/>
    <w:rsid w:val="00B4203B"/>
    <w:rsid w:val="00B43F9A"/>
    <w:rsid w:val="00B46091"/>
    <w:rsid w:val="00B57277"/>
    <w:rsid w:val="00B576A3"/>
    <w:rsid w:val="00B63041"/>
    <w:rsid w:val="00B64AEB"/>
    <w:rsid w:val="00B6751B"/>
    <w:rsid w:val="00B7316D"/>
    <w:rsid w:val="00B8106D"/>
    <w:rsid w:val="00BA4CBB"/>
    <w:rsid w:val="00BB737F"/>
    <w:rsid w:val="00BC0391"/>
    <w:rsid w:val="00BC7ED6"/>
    <w:rsid w:val="00BE6C3B"/>
    <w:rsid w:val="00BE6EB1"/>
    <w:rsid w:val="00BF4036"/>
    <w:rsid w:val="00BF6599"/>
    <w:rsid w:val="00C25085"/>
    <w:rsid w:val="00C261AE"/>
    <w:rsid w:val="00C346B0"/>
    <w:rsid w:val="00C4245D"/>
    <w:rsid w:val="00C42BD0"/>
    <w:rsid w:val="00C46186"/>
    <w:rsid w:val="00C47AE0"/>
    <w:rsid w:val="00C52D44"/>
    <w:rsid w:val="00C63B17"/>
    <w:rsid w:val="00C63D5B"/>
    <w:rsid w:val="00C667DA"/>
    <w:rsid w:val="00C701E4"/>
    <w:rsid w:val="00C76BBE"/>
    <w:rsid w:val="00C775B8"/>
    <w:rsid w:val="00C81388"/>
    <w:rsid w:val="00C8322B"/>
    <w:rsid w:val="00C83E9F"/>
    <w:rsid w:val="00C84EFC"/>
    <w:rsid w:val="00C9261C"/>
    <w:rsid w:val="00C93D3D"/>
    <w:rsid w:val="00CB4221"/>
    <w:rsid w:val="00CC3070"/>
    <w:rsid w:val="00CC347D"/>
    <w:rsid w:val="00CC6783"/>
    <w:rsid w:val="00CD2171"/>
    <w:rsid w:val="00CD3D3B"/>
    <w:rsid w:val="00CD7A12"/>
    <w:rsid w:val="00CE362A"/>
    <w:rsid w:val="00CF52FD"/>
    <w:rsid w:val="00CF6C79"/>
    <w:rsid w:val="00CF70F2"/>
    <w:rsid w:val="00D064B9"/>
    <w:rsid w:val="00D1023E"/>
    <w:rsid w:val="00D17D21"/>
    <w:rsid w:val="00D214DE"/>
    <w:rsid w:val="00D24C05"/>
    <w:rsid w:val="00D30932"/>
    <w:rsid w:val="00D31BDB"/>
    <w:rsid w:val="00D332F9"/>
    <w:rsid w:val="00D33E65"/>
    <w:rsid w:val="00D37C6A"/>
    <w:rsid w:val="00D4153B"/>
    <w:rsid w:val="00D47A61"/>
    <w:rsid w:val="00D61606"/>
    <w:rsid w:val="00D622A4"/>
    <w:rsid w:val="00D71E46"/>
    <w:rsid w:val="00D87EE5"/>
    <w:rsid w:val="00DB1985"/>
    <w:rsid w:val="00DB1A57"/>
    <w:rsid w:val="00DB5335"/>
    <w:rsid w:val="00DB7420"/>
    <w:rsid w:val="00DD01DD"/>
    <w:rsid w:val="00DE3872"/>
    <w:rsid w:val="00DE7082"/>
    <w:rsid w:val="00DF037F"/>
    <w:rsid w:val="00DF0FF3"/>
    <w:rsid w:val="00DF5E57"/>
    <w:rsid w:val="00E026F9"/>
    <w:rsid w:val="00E050C2"/>
    <w:rsid w:val="00E10733"/>
    <w:rsid w:val="00E1202E"/>
    <w:rsid w:val="00E1207C"/>
    <w:rsid w:val="00E17C12"/>
    <w:rsid w:val="00E24501"/>
    <w:rsid w:val="00E250DA"/>
    <w:rsid w:val="00E2607A"/>
    <w:rsid w:val="00E311BB"/>
    <w:rsid w:val="00E3250A"/>
    <w:rsid w:val="00E33627"/>
    <w:rsid w:val="00E35A90"/>
    <w:rsid w:val="00E407DE"/>
    <w:rsid w:val="00E44EFB"/>
    <w:rsid w:val="00E543F7"/>
    <w:rsid w:val="00E557E2"/>
    <w:rsid w:val="00E629EA"/>
    <w:rsid w:val="00E64543"/>
    <w:rsid w:val="00E70A96"/>
    <w:rsid w:val="00E83267"/>
    <w:rsid w:val="00E870EC"/>
    <w:rsid w:val="00E90392"/>
    <w:rsid w:val="00E92B0B"/>
    <w:rsid w:val="00EA00C5"/>
    <w:rsid w:val="00EB4107"/>
    <w:rsid w:val="00EB4DCD"/>
    <w:rsid w:val="00EB6104"/>
    <w:rsid w:val="00EC058E"/>
    <w:rsid w:val="00EC1AD4"/>
    <w:rsid w:val="00EC5FF1"/>
    <w:rsid w:val="00ED021A"/>
    <w:rsid w:val="00ED485B"/>
    <w:rsid w:val="00ED5046"/>
    <w:rsid w:val="00EE1755"/>
    <w:rsid w:val="00EE248D"/>
    <w:rsid w:val="00EF128D"/>
    <w:rsid w:val="00EF215E"/>
    <w:rsid w:val="00F0087A"/>
    <w:rsid w:val="00F00A34"/>
    <w:rsid w:val="00F02161"/>
    <w:rsid w:val="00F02B78"/>
    <w:rsid w:val="00F051E4"/>
    <w:rsid w:val="00F0729B"/>
    <w:rsid w:val="00F123A7"/>
    <w:rsid w:val="00F176FF"/>
    <w:rsid w:val="00F219D2"/>
    <w:rsid w:val="00F24691"/>
    <w:rsid w:val="00F3313A"/>
    <w:rsid w:val="00F52893"/>
    <w:rsid w:val="00F625F5"/>
    <w:rsid w:val="00F6278F"/>
    <w:rsid w:val="00F628F0"/>
    <w:rsid w:val="00F644E7"/>
    <w:rsid w:val="00F80382"/>
    <w:rsid w:val="00F807AA"/>
    <w:rsid w:val="00F84A3E"/>
    <w:rsid w:val="00F84B67"/>
    <w:rsid w:val="00F85609"/>
    <w:rsid w:val="00F936E8"/>
    <w:rsid w:val="00FA3B9F"/>
    <w:rsid w:val="00FA44A5"/>
    <w:rsid w:val="00FA6B2D"/>
    <w:rsid w:val="00FB071A"/>
    <w:rsid w:val="00FB442A"/>
    <w:rsid w:val="00FC4813"/>
    <w:rsid w:val="00FD69B4"/>
    <w:rsid w:val="00FE02B5"/>
    <w:rsid w:val="00FE0D20"/>
    <w:rsid w:val="00FF38E8"/>
    <w:rsid w:val="00FF4A5B"/>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E5991-31A0-4667-B16D-7C3D2B00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08"/>
  </w:style>
  <w:style w:type="paragraph" w:styleId="Heading2">
    <w:name w:val="heading 2"/>
    <w:basedOn w:val="Normal"/>
    <w:link w:val="Heading2Char"/>
    <w:uiPriority w:val="9"/>
    <w:qFormat/>
    <w:rsid w:val="00112C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4543"/>
    <w:rPr>
      <w:rFonts w:ascii="Consolas" w:hAnsi="Consolas"/>
      <w:sz w:val="21"/>
      <w:szCs w:val="21"/>
    </w:rPr>
  </w:style>
  <w:style w:type="character" w:customStyle="1" w:styleId="PlainTextChar">
    <w:name w:val="Plain Text Char"/>
    <w:basedOn w:val="DefaultParagraphFont"/>
    <w:link w:val="PlainText"/>
    <w:uiPriority w:val="99"/>
    <w:rsid w:val="00E64543"/>
    <w:rPr>
      <w:rFonts w:ascii="Consolas" w:hAnsi="Consolas"/>
      <w:sz w:val="21"/>
      <w:szCs w:val="21"/>
    </w:rPr>
  </w:style>
  <w:style w:type="character" w:styleId="Hyperlink">
    <w:name w:val="Hyperlink"/>
    <w:basedOn w:val="DefaultParagraphFont"/>
    <w:uiPriority w:val="99"/>
    <w:unhideWhenUsed/>
    <w:rsid w:val="00752F09"/>
    <w:rPr>
      <w:color w:val="0000FF" w:themeColor="hyperlink"/>
      <w:u w:val="single"/>
    </w:rPr>
  </w:style>
  <w:style w:type="character" w:styleId="FollowedHyperlink">
    <w:name w:val="FollowedHyperlink"/>
    <w:basedOn w:val="DefaultParagraphFont"/>
    <w:uiPriority w:val="99"/>
    <w:semiHidden/>
    <w:unhideWhenUsed/>
    <w:rsid w:val="0000781A"/>
    <w:rPr>
      <w:color w:val="800080" w:themeColor="followedHyperlink"/>
      <w:u w:val="single"/>
    </w:rPr>
  </w:style>
  <w:style w:type="table" w:styleId="TableGrid">
    <w:name w:val="Table Grid"/>
    <w:basedOn w:val="TableNormal"/>
    <w:uiPriority w:val="59"/>
    <w:rsid w:val="00FA6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0B4"/>
    <w:rPr>
      <w:rFonts w:ascii="Tahoma" w:hAnsi="Tahoma" w:cs="Tahoma"/>
      <w:sz w:val="16"/>
      <w:szCs w:val="16"/>
    </w:rPr>
  </w:style>
  <w:style w:type="character" w:customStyle="1" w:styleId="BalloonTextChar">
    <w:name w:val="Balloon Text Char"/>
    <w:basedOn w:val="DefaultParagraphFont"/>
    <w:link w:val="BalloonText"/>
    <w:uiPriority w:val="99"/>
    <w:semiHidden/>
    <w:rsid w:val="009770B4"/>
    <w:rPr>
      <w:rFonts w:ascii="Tahoma" w:hAnsi="Tahoma" w:cs="Tahoma"/>
      <w:sz w:val="16"/>
      <w:szCs w:val="16"/>
    </w:rPr>
  </w:style>
  <w:style w:type="paragraph" w:styleId="ListParagraph">
    <w:name w:val="List Paragraph"/>
    <w:basedOn w:val="Normal"/>
    <w:uiPriority w:val="34"/>
    <w:qFormat/>
    <w:rsid w:val="00EE248D"/>
    <w:pPr>
      <w:ind w:left="720"/>
      <w:contextualSpacing/>
    </w:pPr>
  </w:style>
  <w:style w:type="paragraph" w:customStyle="1" w:styleId="Default">
    <w:name w:val="Default"/>
    <w:rsid w:val="00481A93"/>
    <w:pPr>
      <w:autoSpaceDE w:val="0"/>
      <w:autoSpaceDN w:val="0"/>
      <w:adjustRightInd w:val="0"/>
    </w:pPr>
    <w:rPr>
      <w:rFonts w:ascii="Times New Roman" w:hAnsi="Times New Roman" w:cs="Times New Roman"/>
      <w:color w:val="000000"/>
      <w:sz w:val="24"/>
      <w:szCs w:val="24"/>
    </w:rPr>
  </w:style>
  <w:style w:type="character" w:customStyle="1" w:styleId="st1">
    <w:name w:val="st1"/>
    <w:basedOn w:val="DefaultParagraphFont"/>
    <w:rsid w:val="00505D74"/>
  </w:style>
  <w:style w:type="paragraph" w:styleId="NormalWeb">
    <w:name w:val="Normal (Web)"/>
    <w:basedOn w:val="Normal"/>
    <w:uiPriority w:val="99"/>
    <w:semiHidden/>
    <w:unhideWhenUsed/>
    <w:rsid w:val="004E628C"/>
    <w:pPr>
      <w:spacing w:before="100" w:beforeAutospacing="1" w:after="100" w:afterAutospacing="1"/>
    </w:pPr>
    <w:rPr>
      <w:rFonts w:ascii="Times New Roman" w:eastAsia="Times New Roman" w:hAnsi="Times New Roman" w:cs="Times New Roman"/>
      <w:sz w:val="24"/>
      <w:szCs w:val="24"/>
    </w:rPr>
  </w:style>
  <w:style w:type="character" w:customStyle="1" w:styleId="ft">
    <w:name w:val="ft"/>
    <w:basedOn w:val="DefaultParagraphFont"/>
    <w:rsid w:val="004E628C"/>
  </w:style>
  <w:style w:type="character" w:customStyle="1" w:styleId="Heading2Char">
    <w:name w:val="Heading 2 Char"/>
    <w:basedOn w:val="DefaultParagraphFont"/>
    <w:link w:val="Heading2"/>
    <w:uiPriority w:val="9"/>
    <w:rsid w:val="00112C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499">
      <w:bodyDiv w:val="1"/>
      <w:marLeft w:val="0"/>
      <w:marRight w:val="0"/>
      <w:marTop w:val="0"/>
      <w:marBottom w:val="0"/>
      <w:divBdr>
        <w:top w:val="none" w:sz="0" w:space="0" w:color="auto"/>
        <w:left w:val="none" w:sz="0" w:space="0" w:color="auto"/>
        <w:bottom w:val="none" w:sz="0" w:space="0" w:color="auto"/>
        <w:right w:val="none" w:sz="0" w:space="0" w:color="auto"/>
      </w:divBdr>
    </w:div>
    <w:div w:id="9650956">
      <w:bodyDiv w:val="1"/>
      <w:marLeft w:val="0"/>
      <w:marRight w:val="0"/>
      <w:marTop w:val="0"/>
      <w:marBottom w:val="0"/>
      <w:divBdr>
        <w:top w:val="none" w:sz="0" w:space="0" w:color="auto"/>
        <w:left w:val="none" w:sz="0" w:space="0" w:color="auto"/>
        <w:bottom w:val="none" w:sz="0" w:space="0" w:color="auto"/>
        <w:right w:val="none" w:sz="0" w:space="0" w:color="auto"/>
      </w:divBdr>
    </w:div>
    <w:div w:id="18747081">
      <w:bodyDiv w:val="1"/>
      <w:marLeft w:val="0"/>
      <w:marRight w:val="0"/>
      <w:marTop w:val="0"/>
      <w:marBottom w:val="0"/>
      <w:divBdr>
        <w:top w:val="none" w:sz="0" w:space="0" w:color="auto"/>
        <w:left w:val="none" w:sz="0" w:space="0" w:color="auto"/>
        <w:bottom w:val="none" w:sz="0" w:space="0" w:color="auto"/>
        <w:right w:val="none" w:sz="0" w:space="0" w:color="auto"/>
      </w:divBdr>
    </w:div>
    <w:div w:id="22754500">
      <w:bodyDiv w:val="1"/>
      <w:marLeft w:val="0"/>
      <w:marRight w:val="0"/>
      <w:marTop w:val="0"/>
      <w:marBottom w:val="0"/>
      <w:divBdr>
        <w:top w:val="none" w:sz="0" w:space="0" w:color="auto"/>
        <w:left w:val="none" w:sz="0" w:space="0" w:color="auto"/>
        <w:bottom w:val="none" w:sz="0" w:space="0" w:color="auto"/>
        <w:right w:val="none" w:sz="0" w:space="0" w:color="auto"/>
      </w:divBdr>
    </w:div>
    <w:div w:id="30154895">
      <w:bodyDiv w:val="1"/>
      <w:marLeft w:val="0"/>
      <w:marRight w:val="0"/>
      <w:marTop w:val="0"/>
      <w:marBottom w:val="0"/>
      <w:divBdr>
        <w:top w:val="none" w:sz="0" w:space="0" w:color="auto"/>
        <w:left w:val="none" w:sz="0" w:space="0" w:color="auto"/>
        <w:bottom w:val="none" w:sz="0" w:space="0" w:color="auto"/>
        <w:right w:val="none" w:sz="0" w:space="0" w:color="auto"/>
      </w:divBdr>
    </w:div>
    <w:div w:id="34352985">
      <w:bodyDiv w:val="1"/>
      <w:marLeft w:val="0"/>
      <w:marRight w:val="0"/>
      <w:marTop w:val="0"/>
      <w:marBottom w:val="0"/>
      <w:divBdr>
        <w:top w:val="none" w:sz="0" w:space="0" w:color="auto"/>
        <w:left w:val="none" w:sz="0" w:space="0" w:color="auto"/>
        <w:bottom w:val="none" w:sz="0" w:space="0" w:color="auto"/>
        <w:right w:val="none" w:sz="0" w:space="0" w:color="auto"/>
      </w:divBdr>
    </w:div>
    <w:div w:id="50228437">
      <w:bodyDiv w:val="1"/>
      <w:marLeft w:val="0"/>
      <w:marRight w:val="0"/>
      <w:marTop w:val="0"/>
      <w:marBottom w:val="0"/>
      <w:divBdr>
        <w:top w:val="none" w:sz="0" w:space="0" w:color="auto"/>
        <w:left w:val="none" w:sz="0" w:space="0" w:color="auto"/>
        <w:bottom w:val="none" w:sz="0" w:space="0" w:color="auto"/>
        <w:right w:val="none" w:sz="0" w:space="0" w:color="auto"/>
      </w:divBdr>
    </w:div>
    <w:div w:id="50814929">
      <w:bodyDiv w:val="1"/>
      <w:marLeft w:val="0"/>
      <w:marRight w:val="0"/>
      <w:marTop w:val="0"/>
      <w:marBottom w:val="0"/>
      <w:divBdr>
        <w:top w:val="none" w:sz="0" w:space="0" w:color="auto"/>
        <w:left w:val="none" w:sz="0" w:space="0" w:color="auto"/>
        <w:bottom w:val="none" w:sz="0" w:space="0" w:color="auto"/>
        <w:right w:val="none" w:sz="0" w:space="0" w:color="auto"/>
      </w:divBdr>
    </w:div>
    <w:div w:id="60567831">
      <w:bodyDiv w:val="1"/>
      <w:marLeft w:val="0"/>
      <w:marRight w:val="0"/>
      <w:marTop w:val="0"/>
      <w:marBottom w:val="0"/>
      <w:divBdr>
        <w:top w:val="none" w:sz="0" w:space="0" w:color="auto"/>
        <w:left w:val="none" w:sz="0" w:space="0" w:color="auto"/>
        <w:bottom w:val="none" w:sz="0" w:space="0" w:color="auto"/>
        <w:right w:val="none" w:sz="0" w:space="0" w:color="auto"/>
      </w:divBdr>
    </w:div>
    <w:div w:id="62914694">
      <w:bodyDiv w:val="1"/>
      <w:marLeft w:val="0"/>
      <w:marRight w:val="0"/>
      <w:marTop w:val="0"/>
      <w:marBottom w:val="0"/>
      <w:divBdr>
        <w:top w:val="none" w:sz="0" w:space="0" w:color="auto"/>
        <w:left w:val="none" w:sz="0" w:space="0" w:color="auto"/>
        <w:bottom w:val="none" w:sz="0" w:space="0" w:color="auto"/>
        <w:right w:val="none" w:sz="0" w:space="0" w:color="auto"/>
      </w:divBdr>
    </w:div>
    <w:div w:id="98453365">
      <w:bodyDiv w:val="1"/>
      <w:marLeft w:val="0"/>
      <w:marRight w:val="0"/>
      <w:marTop w:val="0"/>
      <w:marBottom w:val="0"/>
      <w:divBdr>
        <w:top w:val="none" w:sz="0" w:space="0" w:color="auto"/>
        <w:left w:val="none" w:sz="0" w:space="0" w:color="auto"/>
        <w:bottom w:val="none" w:sz="0" w:space="0" w:color="auto"/>
        <w:right w:val="none" w:sz="0" w:space="0" w:color="auto"/>
      </w:divBdr>
    </w:div>
    <w:div w:id="104665160">
      <w:bodyDiv w:val="1"/>
      <w:marLeft w:val="0"/>
      <w:marRight w:val="0"/>
      <w:marTop w:val="0"/>
      <w:marBottom w:val="0"/>
      <w:divBdr>
        <w:top w:val="none" w:sz="0" w:space="0" w:color="auto"/>
        <w:left w:val="none" w:sz="0" w:space="0" w:color="auto"/>
        <w:bottom w:val="none" w:sz="0" w:space="0" w:color="auto"/>
        <w:right w:val="none" w:sz="0" w:space="0" w:color="auto"/>
      </w:divBdr>
    </w:div>
    <w:div w:id="121046457">
      <w:bodyDiv w:val="1"/>
      <w:marLeft w:val="0"/>
      <w:marRight w:val="0"/>
      <w:marTop w:val="0"/>
      <w:marBottom w:val="0"/>
      <w:divBdr>
        <w:top w:val="none" w:sz="0" w:space="0" w:color="auto"/>
        <w:left w:val="none" w:sz="0" w:space="0" w:color="auto"/>
        <w:bottom w:val="none" w:sz="0" w:space="0" w:color="auto"/>
        <w:right w:val="none" w:sz="0" w:space="0" w:color="auto"/>
      </w:divBdr>
    </w:div>
    <w:div w:id="233667293">
      <w:bodyDiv w:val="1"/>
      <w:marLeft w:val="0"/>
      <w:marRight w:val="0"/>
      <w:marTop w:val="0"/>
      <w:marBottom w:val="0"/>
      <w:divBdr>
        <w:top w:val="none" w:sz="0" w:space="0" w:color="auto"/>
        <w:left w:val="none" w:sz="0" w:space="0" w:color="auto"/>
        <w:bottom w:val="none" w:sz="0" w:space="0" w:color="auto"/>
        <w:right w:val="none" w:sz="0" w:space="0" w:color="auto"/>
      </w:divBdr>
    </w:div>
    <w:div w:id="236285575">
      <w:bodyDiv w:val="1"/>
      <w:marLeft w:val="0"/>
      <w:marRight w:val="0"/>
      <w:marTop w:val="0"/>
      <w:marBottom w:val="0"/>
      <w:divBdr>
        <w:top w:val="none" w:sz="0" w:space="0" w:color="auto"/>
        <w:left w:val="none" w:sz="0" w:space="0" w:color="auto"/>
        <w:bottom w:val="none" w:sz="0" w:space="0" w:color="auto"/>
        <w:right w:val="none" w:sz="0" w:space="0" w:color="auto"/>
      </w:divBdr>
    </w:div>
    <w:div w:id="267125774">
      <w:bodyDiv w:val="1"/>
      <w:marLeft w:val="0"/>
      <w:marRight w:val="0"/>
      <w:marTop w:val="0"/>
      <w:marBottom w:val="0"/>
      <w:divBdr>
        <w:top w:val="none" w:sz="0" w:space="0" w:color="auto"/>
        <w:left w:val="none" w:sz="0" w:space="0" w:color="auto"/>
        <w:bottom w:val="none" w:sz="0" w:space="0" w:color="auto"/>
        <w:right w:val="none" w:sz="0" w:space="0" w:color="auto"/>
      </w:divBdr>
    </w:div>
    <w:div w:id="271056902">
      <w:bodyDiv w:val="1"/>
      <w:marLeft w:val="0"/>
      <w:marRight w:val="0"/>
      <w:marTop w:val="0"/>
      <w:marBottom w:val="0"/>
      <w:divBdr>
        <w:top w:val="none" w:sz="0" w:space="0" w:color="auto"/>
        <w:left w:val="none" w:sz="0" w:space="0" w:color="auto"/>
        <w:bottom w:val="none" w:sz="0" w:space="0" w:color="auto"/>
        <w:right w:val="none" w:sz="0" w:space="0" w:color="auto"/>
      </w:divBdr>
    </w:div>
    <w:div w:id="291862452">
      <w:bodyDiv w:val="1"/>
      <w:marLeft w:val="0"/>
      <w:marRight w:val="0"/>
      <w:marTop w:val="0"/>
      <w:marBottom w:val="0"/>
      <w:divBdr>
        <w:top w:val="none" w:sz="0" w:space="0" w:color="auto"/>
        <w:left w:val="none" w:sz="0" w:space="0" w:color="auto"/>
        <w:bottom w:val="none" w:sz="0" w:space="0" w:color="auto"/>
        <w:right w:val="none" w:sz="0" w:space="0" w:color="auto"/>
      </w:divBdr>
    </w:div>
    <w:div w:id="293298224">
      <w:bodyDiv w:val="1"/>
      <w:marLeft w:val="0"/>
      <w:marRight w:val="0"/>
      <w:marTop w:val="0"/>
      <w:marBottom w:val="0"/>
      <w:divBdr>
        <w:top w:val="none" w:sz="0" w:space="0" w:color="auto"/>
        <w:left w:val="none" w:sz="0" w:space="0" w:color="auto"/>
        <w:bottom w:val="none" w:sz="0" w:space="0" w:color="auto"/>
        <w:right w:val="none" w:sz="0" w:space="0" w:color="auto"/>
      </w:divBdr>
    </w:div>
    <w:div w:id="297298943">
      <w:bodyDiv w:val="1"/>
      <w:marLeft w:val="0"/>
      <w:marRight w:val="0"/>
      <w:marTop w:val="0"/>
      <w:marBottom w:val="0"/>
      <w:divBdr>
        <w:top w:val="none" w:sz="0" w:space="0" w:color="auto"/>
        <w:left w:val="none" w:sz="0" w:space="0" w:color="auto"/>
        <w:bottom w:val="none" w:sz="0" w:space="0" w:color="auto"/>
        <w:right w:val="none" w:sz="0" w:space="0" w:color="auto"/>
      </w:divBdr>
    </w:div>
    <w:div w:id="301156510">
      <w:bodyDiv w:val="1"/>
      <w:marLeft w:val="0"/>
      <w:marRight w:val="0"/>
      <w:marTop w:val="0"/>
      <w:marBottom w:val="0"/>
      <w:divBdr>
        <w:top w:val="none" w:sz="0" w:space="0" w:color="auto"/>
        <w:left w:val="none" w:sz="0" w:space="0" w:color="auto"/>
        <w:bottom w:val="none" w:sz="0" w:space="0" w:color="auto"/>
        <w:right w:val="none" w:sz="0" w:space="0" w:color="auto"/>
      </w:divBdr>
    </w:div>
    <w:div w:id="317002232">
      <w:bodyDiv w:val="1"/>
      <w:marLeft w:val="0"/>
      <w:marRight w:val="0"/>
      <w:marTop w:val="0"/>
      <w:marBottom w:val="0"/>
      <w:divBdr>
        <w:top w:val="none" w:sz="0" w:space="0" w:color="auto"/>
        <w:left w:val="none" w:sz="0" w:space="0" w:color="auto"/>
        <w:bottom w:val="none" w:sz="0" w:space="0" w:color="auto"/>
        <w:right w:val="none" w:sz="0" w:space="0" w:color="auto"/>
      </w:divBdr>
    </w:div>
    <w:div w:id="322272858">
      <w:bodyDiv w:val="1"/>
      <w:marLeft w:val="0"/>
      <w:marRight w:val="0"/>
      <w:marTop w:val="0"/>
      <w:marBottom w:val="0"/>
      <w:divBdr>
        <w:top w:val="none" w:sz="0" w:space="0" w:color="auto"/>
        <w:left w:val="none" w:sz="0" w:space="0" w:color="auto"/>
        <w:bottom w:val="none" w:sz="0" w:space="0" w:color="auto"/>
        <w:right w:val="none" w:sz="0" w:space="0" w:color="auto"/>
      </w:divBdr>
    </w:div>
    <w:div w:id="325979775">
      <w:bodyDiv w:val="1"/>
      <w:marLeft w:val="0"/>
      <w:marRight w:val="0"/>
      <w:marTop w:val="0"/>
      <w:marBottom w:val="0"/>
      <w:divBdr>
        <w:top w:val="none" w:sz="0" w:space="0" w:color="auto"/>
        <w:left w:val="none" w:sz="0" w:space="0" w:color="auto"/>
        <w:bottom w:val="none" w:sz="0" w:space="0" w:color="auto"/>
        <w:right w:val="none" w:sz="0" w:space="0" w:color="auto"/>
      </w:divBdr>
    </w:div>
    <w:div w:id="385564534">
      <w:bodyDiv w:val="1"/>
      <w:marLeft w:val="0"/>
      <w:marRight w:val="0"/>
      <w:marTop w:val="0"/>
      <w:marBottom w:val="0"/>
      <w:divBdr>
        <w:top w:val="none" w:sz="0" w:space="0" w:color="auto"/>
        <w:left w:val="none" w:sz="0" w:space="0" w:color="auto"/>
        <w:bottom w:val="none" w:sz="0" w:space="0" w:color="auto"/>
        <w:right w:val="none" w:sz="0" w:space="0" w:color="auto"/>
      </w:divBdr>
    </w:div>
    <w:div w:id="402917342">
      <w:bodyDiv w:val="1"/>
      <w:marLeft w:val="0"/>
      <w:marRight w:val="0"/>
      <w:marTop w:val="0"/>
      <w:marBottom w:val="0"/>
      <w:divBdr>
        <w:top w:val="none" w:sz="0" w:space="0" w:color="auto"/>
        <w:left w:val="none" w:sz="0" w:space="0" w:color="auto"/>
        <w:bottom w:val="none" w:sz="0" w:space="0" w:color="auto"/>
        <w:right w:val="none" w:sz="0" w:space="0" w:color="auto"/>
      </w:divBdr>
    </w:div>
    <w:div w:id="427310228">
      <w:bodyDiv w:val="1"/>
      <w:marLeft w:val="0"/>
      <w:marRight w:val="0"/>
      <w:marTop w:val="0"/>
      <w:marBottom w:val="0"/>
      <w:divBdr>
        <w:top w:val="none" w:sz="0" w:space="0" w:color="auto"/>
        <w:left w:val="none" w:sz="0" w:space="0" w:color="auto"/>
        <w:bottom w:val="none" w:sz="0" w:space="0" w:color="auto"/>
        <w:right w:val="none" w:sz="0" w:space="0" w:color="auto"/>
      </w:divBdr>
    </w:div>
    <w:div w:id="451098715">
      <w:bodyDiv w:val="1"/>
      <w:marLeft w:val="0"/>
      <w:marRight w:val="0"/>
      <w:marTop w:val="0"/>
      <w:marBottom w:val="0"/>
      <w:divBdr>
        <w:top w:val="none" w:sz="0" w:space="0" w:color="auto"/>
        <w:left w:val="none" w:sz="0" w:space="0" w:color="auto"/>
        <w:bottom w:val="none" w:sz="0" w:space="0" w:color="auto"/>
        <w:right w:val="none" w:sz="0" w:space="0" w:color="auto"/>
      </w:divBdr>
    </w:div>
    <w:div w:id="462045686">
      <w:bodyDiv w:val="1"/>
      <w:marLeft w:val="0"/>
      <w:marRight w:val="0"/>
      <w:marTop w:val="0"/>
      <w:marBottom w:val="0"/>
      <w:divBdr>
        <w:top w:val="none" w:sz="0" w:space="0" w:color="auto"/>
        <w:left w:val="none" w:sz="0" w:space="0" w:color="auto"/>
        <w:bottom w:val="none" w:sz="0" w:space="0" w:color="auto"/>
        <w:right w:val="none" w:sz="0" w:space="0" w:color="auto"/>
      </w:divBdr>
    </w:div>
    <w:div w:id="478890238">
      <w:bodyDiv w:val="1"/>
      <w:marLeft w:val="0"/>
      <w:marRight w:val="0"/>
      <w:marTop w:val="0"/>
      <w:marBottom w:val="0"/>
      <w:divBdr>
        <w:top w:val="none" w:sz="0" w:space="0" w:color="auto"/>
        <w:left w:val="none" w:sz="0" w:space="0" w:color="auto"/>
        <w:bottom w:val="none" w:sz="0" w:space="0" w:color="auto"/>
        <w:right w:val="none" w:sz="0" w:space="0" w:color="auto"/>
      </w:divBdr>
    </w:div>
    <w:div w:id="480775881">
      <w:bodyDiv w:val="1"/>
      <w:marLeft w:val="0"/>
      <w:marRight w:val="0"/>
      <w:marTop w:val="0"/>
      <w:marBottom w:val="0"/>
      <w:divBdr>
        <w:top w:val="none" w:sz="0" w:space="0" w:color="auto"/>
        <w:left w:val="none" w:sz="0" w:space="0" w:color="auto"/>
        <w:bottom w:val="none" w:sz="0" w:space="0" w:color="auto"/>
        <w:right w:val="none" w:sz="0" w:space="0" w:color="auto"/>
      </w:divBdr>
    </w:div>
    <w:div w:id="490297402">
      <w:bodyDiv w:val="1"/>
      <w:marLeft w:val="0"/>
      <w:marRight w:val="0"/>
      <w:marTop w:val="0"/>
      <w:marBottom w:val="0"/>
      <w:divBdr>
        <w:top w:val="none" w:sz="0" w:space="0" w:color="auto"/>
        <w:left w:val="none" w:sz="0" w:space="0" w:color="auto"/>
        <w:bottom w:val="none" w:sz="0" w:space="0" w:color="auto"/>
        <w:right w:val="none" w:sz="0" w:space="0" w:color="auto"/>
      </w:divBdr>
    </w:div>
    <w:div w:id="497887904">
      <w:bodyDiv w:val="1"/>
      <w:marLeft w:val="0"/>
      <w:marRight w:val="0"/>
      <w:marTop w:val="0"/>
      <w:marBottom w:val="0"/>
      <w:divBdr>
        <w:top w:val="none" w:sz="0" w:space="0" w:color="auto"/>
        <w:left w:val="none" w:sz="0" w:space="0" w:color="auto"/>
        <w:bottom w:val="none" w:sz="0" w:space="0" w:color="auto"/>
        <w:right w:val="none" w:sz="0" w:space="0" w:color="auto"/>
      </w:divBdr>
    </w:div>
    <w:div w:id="554631992">
      <w:bodyDiv w:val="1"/>
      <w:marLeft w:val="5"/>
      <w:marRight w:val="5"/>
      <w:marTop w:val="150"/>
      <w:marBottom w:val="150"/>
      <w:divBdr>
        <w:top w:val="none" w:sz="0" w:space="0" w:color="auto"/>
        <w:left w:val="none" w:sz="0" w:space="0" w:color="auto"/>
        <w:bottom w:val="none" w:sz="0" w:space="0" w:color="auto"/>
        <w:right w:val="none" w:sz="0" w:space="0" w:color="auto"/>
      </w:divBdr>
      <w:divsChild>
        <w:div w:id="1432970208">
          <w:marLeft w:val="0"/>
          <w:marRight w:val="0"/>
          <w:marTop w:val="0"/>
          <w:marBottom w:val="0"/>
          <w:divBdr>
            <w:top w:val="none" w:sz="0" w:space="0" w:color="auto"/>
            <w:left w:val="none" w:sz="0" w:space="0" w:color="auto"/>
            <w:bottom w:val="none" w:sz="0" w:space="0" w:color="auto"/>
            <w:right w:val="none" w:sz="0" w:space="0" w:color="auto"/>
          </w:divBdr>
        </w:div>
      </w:divsChild>
    </w:div>
    <w:div w:id="560364834">
      <w:bodyDiv w:val="1"/>
      <w:marLeft w:val="0"/>
      <w:marRight w:val="0"/>
      <w:marTop w:val="0"/>
      <w:marBottom w:val="0"/>
      <w:divBdr>
        <w:top w:val="none" w:sz="0" w:space="0" w:color="auto"/>
        <w:left w:val="none" w:sz="0" w:space="0" w:color="auto"/>
        <w:bottom w:val="none" w:sz="0" w:space="0" w:color="auto"/>
        <w:right w:val="none" w:sz="0" w:space="0" w:color="auto"/>
      </w:divBdr>
    </w:div>
    <w:div w:id="567545142">
      <w:bodyDiv w:val="1"/>
      <w:marLeft w:val="0"/>
      <w:marRight w:val="0"/>
      <w:marTop w:val="0"/>
      <w:marBottom w:val="0"/>
      <w:divBdr>
        <w:top w:val="none" w:sz="0" w:space="0" w:color="auto"/>
        <w:left w:val="none" w:sz="0" w:space="0" w:color="auto"/>
        <w:bottom w:val="none" w:sz="0" w:space="0" w:color="auto"/>
        <w:right w:val="none" w:sz="0" w:space="0" w:color="auto"/>
      </w:divBdr>
    </w:div>
    <w:div w:id="572399037">
      <w:bodyDiv w:val="1"/>
      <w:marLeft w:val="0"/>
      <w:marRight w:val="0"/>
      <w:marTop w:val="0"/>
      <w:marBottom w:val="0"/>
      <w:divBdr>
        <w:top w:val="none" w:sz="0" w:space="0" w:color="auto"/>
        <w:left w:val="none" w:sz="0" w:space="0" w:color="auto"/>
        <w:bottom w:val="none" w:sz="0" w:space="0" w:color="auto"/>
        <w:right w:val="none" w:sz="0" w:space="0" w:color="auto"/>
      </w:divBdr>
      <w:divsChild>
        <w:div w:id="1236159908">
          <w:marLeft w:val="0"/>
          <w:marRight w:val="0"/>
          <w:marTop w:val="0"/>
          <w:marBottom w:val="0"/>
          <w:divBdr>
            <w:top w:val="none" w:sz="0" w:space="0" w:color="auto"/>
            <w:left w:val="none" w:sz="0" w:space="0" w:color="auto"/>
            <w:bottom w:val="none" w:sz="0" w:space="0" w:color="auto"/>
            <w:right w:val="none" w:sz="0" w:space="0" w:color="auto"/>
          </w:divBdr>
          <w:divsChild>
            <w:div w:id="1888570321">
              <w:marLeft w:val="0"/>
              <w:marRight w:val="0"/>
              <w:marTop w:val="0"/>
              <w:marBottom w:val="0"/>
              <w:divBdr>
                <w:top w:val="none" w:sz="0" w:space="0" w:color="auto"/>
                <w:left w:val="none" w:sz="0" w:space="0" w:color="auto"/>
                <w:bottom w:val="none" w:sz="0" w:space="0" w:color="auto"/>
                <w:right w:val="none" w:sz="0" w:space="0" w:color="auto"/>
              </w:divBdr>
            </w:div>
            <w:div w:id="855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721">
      <w:bodyDiv w:val="1"/>
      <w:marLeft w:val="0"/>
      <w:marRight w:val="0"/>
      <w:marTop w:val="0"/>
      <w:marBottom w:val="0"/>
      <w:divBdr>
        <w:top w:val="none" w:sz="0" w:space="0" w:color="auto"/>
        <w:left w:val="none" w:sz="0" w:space="0" w:color="auto"/>
        <w:bottom w:val="none" w:sz="0" w:space="0" w:color="auto"/>
        <w:right w:val="none" w:sz="0" w:space="0" w:color="auto"/>
      </w:divBdr>
    </w:div>
    <w:div w:id="583341024">
      <w:bodyDiv w:val="1"/>
      <w:marLeft w:val="0"/>
      <w:marRight w:val="0"/>
      <w:marTop w:val="0"/>
      <w:marBottom w:val="0"/>
      <w:divBdr>
        <w:top w:val="none" w:sz="0" w:space="0" w:color="auto"/>
        <w:left w:val="none" w:sz="0" w:space="0" w:color="auto"/>
        <w:bottom w:val="none" w:sz="0" w:space="0" w:color="auto"/>
        <w:right w:val="none" w:sz="0" w:space="0" w:color="auto"/>
      </w:divBdr>
    </w:div>
    <w:div w:id="587035519">
      <w:bodyDiv w:val="1"/>
      <w:marLeft w:val="0"/>
      <w:marRight w:val="0"/>
      <w:marTop w:val="0"/>
      <w:marBottom w:val="0"/>
      <w:divBdr>
        <w:top w:val="none" w:sz="0" w:space="0" w:color="auto"/>
        <w:left w:val="none" w:sz="0" w:space="0" w:color="auto"/>
        <w:bottom w:val="none" w:sz="0" w:space="0" w:color="auto"/>
        <w:right w:val="none" w:sz="0" w:space="0" w:color="auto"/>
      </w:divBdr>
    </w:div>
    <w:div w:id="618266664">
      <w:bodyDiv w:val="1"/>
      <w:marLeft w:val="0"/>
      <w:marRight w:val="0"/>
      <w:marTop w:val="0"/>
      <w:marBottom w:val="0"/>
      <w:divBdr>
        <w:top w:val="none" w:sz="0" w:space="0" w:color="auto"/>
        <w:left w:val="none" w:sz="0" w:space="0" w:color="auto"/>
        <w:bottom w:val="none" w:sz="0" w:space="0" w:color="auto"/>
        <w:right w:val="none" w:sz="0" w:space="0" w:color="auto"/>
      </w:divBdr>
    </w:div>
    <w:div w:id="624046366">
      <w:bodyDiv w:val="1"/>
      <w:marLeft w:val="0"/>
      <w:marRight w:val="0"/>
      <w:marTop w:val="0"/>
      <w:marBottom w:val="0"/>
      <w:divBdr>
        <w:top w:val="none" w:sz="0" w:space="0" w:color="auto"/>
        <w:left w:val="none" w:sz="0" w:space="0" w:color="auto"/>
        <w:bottom w:val="none" w:sz="0" w:space="0" w:color="auto"/>
        <w:right w:val="none" w:sz="0" w:space="0" w:color="auto"/>
      </w:divBdr>
    </w:div>
    <w:div w:id="657653909">
      <w:bodyDiv w:val="1"/>
      <w:marLeft w:val="0"/>
      <w:marRight w:val="0"/>
      <w:marTop w:val="0"/>
      <w:marBottom w:val="0"/>
      <w:divBdr>
        <w:top w:val="none" w:sz="0" w:space="0" w:color="auto"/>
        <w:left w:val="none" w:sz="0" w:space="0" w:color="auto"/>
        <w:bottom w:val="none" w:sz="0" w:space="0" w:color="auto"/>
        <w:right w:val="none" w:sz="0" w:space="0" w:color="auto"/>
      </w:divBdr>
    </w:div>
    <w:div w:id="668215589">
      <w:bodyDiv w:val="1"/>
      <w:marLeft w:val="0"/>
      <w:marRight w:val="0"/>
      <w:marTop w:val="0"/>
      <w:marBottom w:val="0"/>
      <w:divBdr>
        <w:top w:val="none" w:sz="0" w:space="0" w:color="auto"/>
        <w:left w:val="none" w:sz="0" w:space="0" w:color="auto"/>
        <w:bottom w:val="none" w:sz="0" w:space="0" w:color="auto"/>
        <w:right w:val="none" w:sz="0" w:space="0" w:color="auto"/>
      </w:divBdr>
    </w:div>
    <w:div w:id="672298731">
      <w:bodyDiv w:val="1"/>
      <w:marLeft w:val="0"/>
      <w:marRight w:val="0"/>
      <w:marTop w:val="0"/>
      <w:marBottom w:val="0"/>
      <w:divBdr>
        <w:top w:val="none" w:sz="0" w:space="0" w:color="auto"/>
        <w:left w:val="none" w:sz="0" w:space="0" w:color="auto"/>
        <w:bottom w:val="none" w:sz="0" w:space="0" w:color="auto"/>
        <w:right w:val="none" w:sz="0" w:space="0" w:color="auto"/>
      </w:divBdr>
    </w:div>
    <w:div w:id="672806653">
      <w:bodyDiv w:val="1"/>
      <w:marLeft w:val="0"/>
      <w:marRight w:val="0"/>
      <w:marTop w:val="0"/>
      <w:marBottom w:val="0"/>
      <w:divBdr>
        <w:top w:val="none" w:sz="0" w:space="0" w:color="auto"/>
        <w:left w:val="none" w:sz="0" w:space="0" w:color="auto"/>
        <w:bottom w:val="none" w:sz="0" w:space="0" w:color="auto"/>
        <w:right w:val="none" w:sz="0" w:space="0" w:color="auto"/>
      </w:divBdr>
      <w:divsChild>
        <w:div w:id="128787666">
          <w:marLeft w:val="1080"/>
          <w:marRight w:val="0"/>
          <w:marTop w:val="0"/>
          <w:marBottom w:val="180"/>
          <w:divBdr>
            <w:top w:val="none" w:sz="0" w:space="0" w:color="auto"/>
            <w:left w:val="none" w:sz="0" w:space="0" w:color="auto"/>
            <w:bottom w:val="none" w:sz="0" w:space="0" w:color="auto"/>
            <w:right w:val="none" w:sz="0" w:space="0" w:color="auto"/>
          </w:divBdr>
        </w:div>
      </w:divsChild>
    </w:div>
    <w:div w:id="676538525">
      <w:bodyDiv w:val="1"/>
      <w:marLeft w:val="0"/>
      <w:marRight w:val="0"/>
      <w:marTop w:val="0"/>
      <w:marBottom w:val="0"/>
      <w:divBdr>
        <w:top w:val="none" w:sz="0" w:space="0" w:color="auto"/>
        <w:left w:val="none" w:sz="0" w:space="0" w:color="auto"/>
        <w:bottom w:val="none" w:sz="0" w:space="0" w:color="auto"/>
        <w:right w:val="none" w:sz="0" w:space="0" w:color="auto"/>
      </w:divBdr>
    </w:div>
    <w:div w:id="681785883">
      <w:bodyDiv w:val="1"/>
      <w:marLeft w:val="0"/>
      <w:marRight w:val="0"/>
      <w:marTop w:val="0"/>
      <w:marBottom w:val="0"/>
      <w:divBdr>
        <w:top w:val="none" w:sz="0" w:space="0" w:color="auto"/>
        <w:left w:val="none" w:sz="0" w:space="0" w:color="auto"/>
        <w:bottom w:val="none" w:sz="0" w:space="0" w:color="auto"/>
        <w:right w:val="none" w:sz="0" w:space="0" w:color="auto"/>
      </w:divBdr>
    </w:div>
    <w:div w:id="682820244">
      <w:bodyDiv w:val="1"/>
      <w:marLeft w:val="0"/>
      <w:marRight w:val="0"/>
      <w:marTop w:val="0"/>
      <w:marBottom w:val="0"/>
      <w:divBdr>
        <w:top w:val="none" w:sz="0" w:space="0" w:color="auto"/>
        <w:left w:val="none" w:sz="0" w:space="0" w:color="auto"/>
        <w:bottom w:val="none" w:sz="0" w:space="0" w:color="auto"/>
        <w:right w:val="none" w:sz="0" w:space="0" w:color="auto"/>
      </w:divBdr>
    </w:div>
    <w:div w:id="688944442">
      <w:bodyDiv w:val="1"/>
      <w:marLeft w:val="0"/>
      <w:marRight w:val="0"/>
      <w:marTop w:val="0"/>
      <w:marBottom w:val="0"/>
      <w:divBdr>
        <w:top w:val="none" w:sz="0" w:space="0" w:color="auto"/>
        <w:left w:val="none" w:sz="0" w:space="0" w:color="auto"/>
        <w:bottom w:val="none" w:sz="0" w:space="0" w:color="auto"/>
        <w:right w:val="none" w:sz="0" w:space="0" w:color="auto"/>
      </w:divBdr>
    </w:div>
    <w:div w:id="708067819">
      <w:bodyDiv w:val="1"/>
      <w:marLeft w:val="0"/>
      <w:marRight w:val="0"/>
      <w:marTop w:val="0"/>
      <w:marBottom w:val="0"/>
      <w:divBdr>
        <w:top w:val="none" w:sz="0" w:space="0" w:color="auto"/>
        <w:left w:val="none" w:sz="0" w:space="0" w:color="auto"/>
        <w:bottom w:val="none" w:sz="0" w:space="0" w:color="auto"/>
        <w:right w:val="none" w:sz="0" w:space="0" w:color="auto"/>
      </w:divBdr>
    </w:div>
    <w:div w:id="718239347">
      <w:bodyDiv w:val="1"/>
      <w:marLeft w:val="0"/>
      <w:marRight w:val="0"/>
      <w:marTop w:val="0"/>
      <w:marBottom w:val="0"/>
      <w:divBdr>
        <w:top w:val="none" w:sz="0" w:space="0" w:color="auto"/>
        <w:left w:val="none" w:sz="0" w:space="0" w:color="auto"/>
        <w:bottom w:val="none" w:sz="0" w:space="0" w:color="auto"/>
        <w:right w:val="none" w:sz="0" w:space="0" w:color="auto"/>
      </w:divBdr>
    </w:div>
    <w:div w:id="759640133">
      <w:bodyDiv w:val="1"/>
      <w:marLeft w:val="0"/>
      <w:marRight w:val="0"/>
      <w:marTop w:val="0"/>
      <w:marBottom w:val="0"/>
      <w:divBdr>
        <w:top w:val="none" w:sz="0" w:space="0" w:color="auto"/>
        <w:left w:val="none" w:sz="0" w:space="0" w:color="auto"/>
        <w:bottom w:val="none" w:sz="0" w:space="0" w:color="auto"/>
        <w:right w:val="none" w:sz="0" w:space="0" w:color="auto"/>
      </w:divBdr>
    </w:div>
    <w:div w:id="763958689">
      <w:bodyDiv w:val="1"/>
      <w:marLeft w:val="0"/>
      <w:marRight w:val="0"/>
      <w:marTop w:val="0"/>
      <w:marBottom w:val="0"/>
      <w:divBdr>
        <w:top w:val="none" w:sz="0" w:space="0" w:color="auto"/>
        <w:left w:val="none" w:sz="0" w:space="0" w:color="auto"/>
        <w:bottom w:val="none" w:sz="0" w:space="0" w:color="auto"/>
        <w:right w:val="none" w:sz="0" w:space="0" w:color="auto"/>
      </w:divBdr>
    </w:div>
    <w:div w:id="793862925">
      <w:bodyDiv w:val="1"/>
      <w:marLeft w:val="0"/>
      <w:marRight w:val="0"/>
      <w:marTop w:val="0"/>
      <w:marBottom w:val="0"/>
      <w:divBdr>
        <w:top w:val="none" w:sz="0" w:space="0" w:color="auto"/>
        <w:left w:val="none" w:sz="0" w:space="0" w:color="auto"/>
        <w:bottom w:val="none" w:sz="0" w:space="0" w:color="auto"/>
        <w:right w:val="none" w:sz="0" w:space="0" w:color="auto"/>
      </w:divBdr>
    </w:div>
    <w:div w:id="796869916">
      <w:bodyDiv w:val="1"/>
      <w:marLeft w:val="0"/>
      <w:marRight w:val="0"/>
      <w:marTop w:val="0"/>
      <w:marBottom w:val="0"/>
      <w:divBdr>
        <w:top w:val="none" w:sz="0" w:space="0" w:color="auto"/>
        <w:left w:val="none" w:sz="0" w:space="0" w:color="auto"/>
        <w:bottom w:val="none" w:sz="0" w:space="0" w:color="auto"/>
        <w:right w:val="none" w:sz="0" w:space="0" w:color="auto"/>
      </w:divBdr>
    </w:div>
    <w:div w:id="799497618">
      <w:bodyDiv w:val="1"/>
      <w:marLeft w:val="0"/>
      <w:marRight w:val="0"/>
      <w:marTop w:val="0"/>
      <w:marBottom w:val="0"/>
      <w:divBdr>
        <w:top w:val="none" w:sz="0" w:space="0" w:color="auto"/>
        <w:left w:val="none" w:sz="0" w:space="0" w:color="auto"/>
        <w:bottom w:val="none" w:sz="0" w:space="0" w:color="auto"/>
        <w:right w:val="none" w:sz="0" w:space="0" w:color="auto"/>
      </w:divBdr>
    </w:div>
    <w:div w:id="815494254">
      <w:bodyDiv w:val="1"/>
      <w:marLeft w:val="0"/>
      <w:marRight w:val="0"/>
      <w:marTop w:val="0"/>
      <w:marBottom w:val="0"/>
      <w:divBdr>
        <w:top w:val="none" w:sz="0" w:space="0" w:color="auto"/>
        <w:left w:val="none" w:sz="0" w:space="0" w:color="auto"/>
        <w:bottom w:val="none" w:sz="0" w:space="0" w:color="auto"/>
        <w:right w:val="none" w:sz="0" w:space="0" w:color="auto"/>
      </w:divBdr>
    </w:div>
    <w:div w:id="826626928">
      <w:bodyDiv w:val="1"/>
      <w:marLeft w:val="0"/>
      <w:marRight w:val="0"/>
      <w:marTop w:val="0"/>
      <w:marBottom w:val="0"/>
      <w:divBdr>
        <w:top w:val="none" w:sz="0" w:space="0" w:color="auto"/>
        <w:left w:val="none" w:sz="0" w:space="0" w:color="auto"/>
        <w:bottom w:val="none" w:sz="0" w:space="0" w:color="auto"/>
        <w:right w:val="none" w:sz="0" w:space="0" w:color="auto"/>
      </w:divBdr>
    </w:div>
    <w:div w:id="831067180">
      <w:bodyDiv w:val="1"/>
      <w:marLeft w:val="0"/>
      <w:marRight w:val="0"/>
      <w:marTop w:val="0"/>
      <w:marBottom w:val="0"/>
      <w:divBdr>
        <w:top w:val="none" w:sz="0" w:space="0" w:color="auto"/>
        <w:left w:val="none" w:sz="0" w:space="0" w:color="auto"/>
        <w:bottom w:val="none" w:sz="0" w:space="0" w:color="auto"/>
        <w:right w:val="none" w:sz="0" w:space="0" w:color="auto"/>
      </w:divBdr>
    </w:div>
    <w:div w:id="831532212">
      <w:bodyDiv w:val="1"/>
      <w:marLeft w:val="0"/>
      <w:marRight w:val="0"/>
      <w:marTop w:val="0"/>
      <w:marBottom w:val="0"/>
      <w:divBdr>
        <w:top w:val="none" w:sz="0" w:space="0" w:color="auto"/>
        <w:left w:val="none" w:sz="0" w:space="0" w:color="auto"/>
        <w:bottom w:val="none" w:sz="0" w:space="0" w:color="auto"/>
        <w:right w:val="none" w:sz="0" w:space="0" w:color="auto"/>
      </w:divBdr>
    </w:div>
    <w:div w:id="835267348">
      <w:bodyDiv w:val="1"/>
      <w:marLeft w:val="0"/>
      <w:marRight w:val="0"/>
      <w:marTop w:val="0"/>
      <w:marBottom w:val="0"/>
      <w:divBdr>
        <w:top w:val="none" w:sz="0" w:space="0" w:color="auto"/>
        <w:left w:val="none" w:sz="0" w:space="0" w:color="auto"/>
        <w:bottom w:val="none" w:sz="0" w:space="0" w:color="auto"/>
        <w:right w:val="none" w:sz="0" w:space="0" w:color="auto"/>
      </w:divBdr>
    </w:div>
    <w:div w:id="844633138">
      <w:bodyDiv w:val="1"/>
      <w:marLeft w:val="0"/>
      <w:marRight w:val="0"/>
      <w:marTop w:val="0"/>
      <w:marBottom w:val="0"/>
      <w:divBdr>
        <w:top w:val="none" w:sz="0" w:space="0" w:color="auto"/>
        <w:left w:val="none" w:sz="0" w:space="0" w:color="auto"/>
        <w:bottom w:val="none" w:sz="0" w:space="0" w:color="auto"/>
        <w:right w:val="none" w:sz="0" w:space="0" w:color="auto"/>
      </w:divBdr>
    </w:div>
    <w:div w:id="860319931">
      <w:bodyDiv w:val="1"/>
      <w:marLeft w:val="0"/>
      <w:marRight w:val="0"/>
      <w:marTop w:val="0"/>
      <w:marBottom w:val="0"/>
      <w:divBdr>
        <w:top w:val="none" w:sz="0" w:space="0" w:color="auto"/>
        <w:left w:val="none" w:sz="0" w:space="0" w:color="auto"/>
        <w:bottom w:val="none" w:sz="0" w:space="0" w:color="auto"/>
        <w:right w:val="none" w:sz="0" w:space="0" w:color="auto"/>
      </w:divBdr>
    </w:div>
    <w:div w:id="868110255">
      <w:bodyDiv w:val="1"/>
      <w:marLeft w:val="0"/>
      <w:marRight w:val="0"/>
      <w:marTop w:val="0"/>
      <w:marBottom w:val="0"/>
      <w:divBdr>
        <w:top w:val="none" w:sz="0" w:space="0" w:color="auto"/>
        <w:left w:val="none" w:sz="0" w:space="0" w:color="auto"/>
        <w:bottom w:val="none" w:sz="0" w:space="0" w:color="auto"/>
        <w:right w:val="none" w:sz="0" w:space="0" w:color="auto"/>
      </w:divBdr>
    </w:div>
    <w:div w:id="870849075">
      <w:bodyDiv w:val="1"/>
      <w:marLeft w:val="0"/>
      <w:marRight w:val="0"/>
      <w:marTop w:val="0"/>
      <w:marBottom w:val="0"/>
      <w:divBdr>
        <w:top w:val="none" w:sz="0" w:space="0" w:color="auto"/>
        <w:left w:val="none" w:sz="0" w:space="0" w:color="auto"/>
        <w:bottom w:val="none" w:sz="0" w:space="0" w:color="auto"/>
        <w:right w:val="none" w:sz="0" w:space="0" w:color="auto"/>
      </w:divBdr>
    </w:div>
    <w:div w:id="871041766">
      <w:bodyDiv w:val="1"/>
      <w:marLeft w:val="0"/>
      <w:marRight w:val="0"/>
      <w:marTop w:val="0"/>
      <w:marBottom w:val="0"/>
      <w:divBdr>
        <w:top w:val="none" w:sz="0" w:space="0" w:color="auto"/>
        <w:left w:val="none" w:sz="0" w:space="0" w:color="auto"/>
        <w:bottom w:val="none" w:sz="0" w:space="0" w:color="auto"/>
        <w:right w:val="none" w:sz="0" w:space="0" w:color="auto"/>
      </w:divBdr>
    </w:div>
    <w:div w:id="874121320">
      <w:bodyDiv w:val="1"/>
      <w:marLeft w:val="0"/>
      <w:marRight w:val="0"/>
      <w:marTop w:val="0"/>
      <w:marBottom w:val="0"/>
      <w:divBdr>
        <w:top w:val="none" w:sz="0" w:space="0" w:color="auto"/>
        <w:left w:val="none" w:sz="0" w:space="0" w:color="auto"/>
        <w:bottom w:val="none" w:sz="0" w:space="0" w:color="auto"/>
        <w:right w:val="none" w:sz="0" w:space="0" w:color="auto"/>
      </w:divBdr>
    </w:div>
    <w:div w:id="888109292">
      <w:bodyDiv w:val="1"/>
      <w:marLeft w:val="0"/>
      <w:marRight w:val="0"/>
      <w:marTop w:val="0"/>
      <w:marBottom w:val="0"/>
      <w:divBdr>
        <w:top w:val="none" w:sz="0" w:space="0" w:color="auto"/>
        <w:left w:val="none" w:sz="0" w:space="0" w:color="auto"/>
        <w:bottom w:val="none" w:sz="0" w:space="0" w:color="auto"/>
        <w:right w:val="none" w:sz="0" w:space="0" w:color="auto"/>
      </w:divBdr>
    </w:div>
    <w:div w:id="892931796">
      <w:bodyDiv w:val="1"/>
      <w:marLeft w:val="0"/>
      <w:marRight w:val="0"/>
      <w:marTop w:val="0"/>
      <w:marBottom w:val="0"/>
      <w:divBdr>
        <w:top w:val="none" w:sz="0" w:space="0" w:color="auto"/>
        <w:left w:val="none" w:sz="0" w:space="0" w:color="auto"/>
        <w:bottom w:val="none" w:sz="0" w:space="0" w:color="auto"/>
        <w:right w:val="none" w:sz="0" w:space="0" w:color="auto"/>
      </w:divBdr>
    </w:div>
    <w:div w:id="902371692">
      <w:bodyDiv w:val="1"/>
      <w:marLeft w:val="0"/>
      <w:marRight w:val="0"/>
      <w:marTop w:val="0"/>
      <w:marBottom w:val="0"/>
      <w:divBdr>
        <w:top w:val="none" w:sz="0" w:space="0" w:color="auto"/>
        <w:left w:val="none" w:sz="0" w:space="0" w:color="auto"/>
        <w:bottom w:val="none" w:sz="0" w:space="0" w:color="auto"/>
        <w:right w:val="none" w:sz="0" w:space="0" w:color="auto"/>
      </w:divBdr>
    </w:div>
    <w:div w:id="903877134">
      <w:bodyDiv w:val="1"/>
      <w:marLeft w:val="0"/>
      <w:marRight w:val="0"/>
      <w:marTop w:val="0"/>
      <w:marBottom w:val="0"/>
      <w:divBdr>
        <w:top w:val="none" w:sz="0" w:space="0" w:color="auto"/>
        <w:left w:val="none" w:sz="0" w:space="0" w:color="auto"/>
        <w:bottom w:val="none" w:sz="0" w:space="0" w:color="auto"/>
        <w:right w:val="none" w:sz="0" w:space="0" w:color="auto"/>
      </w:divBdr>
    </w:div>
    <w:div w:id="909072412">
      <w:bodyDiv w:val="1"/>
      <w:marLeft w:val="0"/>
      <w:marRight w:val="0"/>
      <w:marTop w:val="0"/>
      <w:marBottom w:val="0"/>
      <w:divBdr>
        <w:top w:val="none" w:sz="0" w:space="0" w:color="auto"/>
        <w:left w:val="none" w:sz="0" w:space="0" w:color="auto"/>
        <w:bottom w:val="none" w:sz="0" w:space="0" w:color="auto"/>
        <w:right w:val="none" w:sz="0" w:space="0" w:color="auto"/>
      </w:divBdr>
    </w:div>
    <w:div w:id="909998007">
      <w:bodyDiv w:val="1"/>
      <w:marLeft w:val="0"/>
      <w:marRight w:val="0"/>
      <w:marTop w:val="0"/>
      <w:marBottom w:val="0"/>
      <w:divBdr>
        <w:top w:val="none" w:sz="0" w:space="0" w:color="auto"/>
        <w:left w:val="none" w:sz="0" w:space="0" w:color="auto"/>
        <w:bottom w:val="none" w:sz="0" w:space="0" w:color="auto"/>
        <w:right w:val="none" w:sz="0" w:space="0" w:color="auto"/>
      </w:divBdr>
    </w:div>
    <w:div w:id="922106078">
      <w:bodyDiv w:val="1"/>
      <w:marLeft w:val="0"/>
      <w:marRight w:val="0"/>
      <w:marTop w:val="0"/>
      <w:marBottom w:val="0"/>
      <w:divBdr>
        <w:top w:val="none" w:sz="0" w:space="0" w:color="auto"/>
        <w:left w:val="none" w:sz="0" w:space="0" w:color="auto"/>
        <w:bottom w:val="none" w:sz="0" w:space="0" w:color="auto"/>
        <w:right w:val="none" w:sz="0" w:space="0" w:color="auto"/>
      </w:divBdr>
    </w:div>
    <w:div w:id="969752271">
      <w:bodyDiv w:val="1"/>
      <w:marLeft w:val="0"/>
      <w:marRight w:val="0"/>
      <w:marTop w:val="0"/>
      <w:marBottom w:val="0"/>
      <w:divBdr>
        <w:top w:val="none" w:sz="0" w:space="0" w:color="auto"/>
        <w:left w:val="none" w:sz="0" w:space="0" w:color="auto"/>
        <w:bottom w:val="none" w:sz="0" w:space="0" w:color="auto"/>
        <w:right w:val="none" w:sz="0" w:space="0" w:color="auto"/>
      </w:divBdr>
    </w:div>
    <w:div w:id="990401974">
      <w:bodyDiv w:val="1"/>
      <w:marLeft w:val="0"/>
      <w:marRight w:val="0"/>
      <w:marTop w:val="0"/>
      <w:marBottom w:val="0"/>
      <w:divBdr>
        <w:top w:val="none" w:sz="0" w:space="0" w:color="auto"/>
        <w:left w:val="none" w:sz="0" w:space="0" w:color="auto"/>
        <w:bottom w:val="none" w:sz="0" w:space="0" w:color="auto"/>
        <w:right w:val="none" w:sz="0" w:space="0" w:color="auto"/>
      </w:divBdr>
    </w:div>
    <w:div w:id="1022901739">
      <w:bodyDiv w:val="1"/>
      <w:marLeft w:val="0"/>
      <w:marRight w:val="0"/>
      <w:marTop w:val="0"/>
      <w:marBottom w:val="0"/>
      <w:divBdr>
        <w:top w:val="none" w:sz="0" w:space="0" w:color="auto"/>
        <w:left w:val="none" w:sz="0" w:space="0" w:color="auto"/>
        <w:bottom w:val="none" w:sz="0" w:space="0" w:color="auto"/>
        <w:right w:val="none" w:sz="0" w:space="0" w:color="auto"/>
      </w:divBdr>
    </w:div>
    <w:div w:id="1049647115">
      <w:bodyDiv w:val="1"/>
      <w:marLeft w:val="0"/>
      <w:marRight w:val="0"/>
      <w:marTop w:val="0"/>
      <w:marBottom w:val="0"/>
      <w:divBdr>
        <w:top w:val="none" w:sz="0" w:space="0" w:color="auto"/>
        <w:left w:val="none" w:sz="0" w:space="0" w:color="auto"/>
        <w:bottom w:val="none" w:sz="0" w:space="0" w:color="auto"/>
        <w:right w:val="none" w:sz="0" w:space="0" w:color="auto"/>
      </w:divBdr>
    </w:div>
    <w:div w:id="1050806941">
      <w:bodyDiv w:val="1"/>
      <w:marLeft w:val="0"/>
      <w:marRight w:val="0"/>
      <w:marTop w:val="0"/>
      <w:marBottom w:val="0"/>
      <w:divBdr>
        <w:top w:val="none" w:sz="0" w:space="0" w:color="auto"/>
        <w:left w:val="none" w:sz="0" w:space="0" w:color="auto"/>
        <w:bottom w:val="none" w:sz="0" w:space="0" w:color="auto"/>
        <w:right w:val="none" w:sz="0" w:space="0" w:color="auto"/>
      </w:divBdr>
    </w:div>
    <w:div w:id="1056927538">
      <w:bodyDiv w:val="1"/>
      <w:marLeft w:val="0"/>
      <w:marRight w:val="0"/>
      <w:marTop w:val="0"/>
      <w:marBottom w:val="0"/>
      <w:divBdr>
        <w:top w:val="none" w:sz="0" w:space="0" w:color="auto"/>
        <w:left w:val="none" w:sz="0" w:space="0" w:color="auto"/>
        <w:bottom w:val="none" w:sz="0" w:space="0" w:color="auto"/>
        <w:right w:val="none" w:sz="0" w:space="0" w:color="auto"/>
      </w:divBdr>
    </w:div>
    <w:div w:id="1084181804">
      <w:bodyDiv w:val="1"/>
      <w:marLeft w:val="0"/>
      <w:marRight w:val="0"/>
      <w:marTop w:val="0"/>
      <w:marBottom w:val="0"/>
      <w:divBdr>
        <w:top w:val="none" w:sz="0" w:space="0" w:color="auto"/>
        <w:left w:val="none" w:sz="0" w:space="0" w:color="auto"/>
        <w:bottom w:val="none" w:sz="0" w:space="0" w:color="auto"/>
        <w:right w:val="none" w:sz="0" w:space="0" w:color="auto"/>
      </w:divBdr>
    </w:div>
    <w:div w:id="1116369660">
      <w:bodyDiv w:val="1"/>
      <w:marLeft w:val="0"/>
      <w:marRight w:val="0"/>
      <w:marTop w:val="0"/>
      <w:marBottom w:val="0"/>
      <w:divBdr>
        <w:top w:val="none" w:sz="0" w:space="0" w:color="auto"/>
        <w:left w:val="none" w:sz="0" w:space="0" w:color="auto"/>
        <w:bottom w:val="none" w:sz="0" w:space="0" w:color="auto"/>
        <w:right w:val="none" w:sz="0" w:space="0" w:color="auto"/>
      </w:divBdr>
    </w:div>
    <w:div w:id="1116486116">
      <w:bodyDiv w:val="1"/>
      <w:marLeft w:val="0"/>
      <w:marRight w:val="0"/>
      <w:marTop w:val="0"/>
      <w:marBottom w:val="0"/>
      <w:divBdr>
        <w:top w:val="none" w:sz="0" w:space="0" w:color="auto"/>
        <w:left w:val="none" w:sz="0" w:space="0" w:color="auto"/>
        <w:bottom w:val="none" w:sz="0" w:space="0" w:color="auto"/>
        <w:right w:val="none" w:sz="0" w:space="0" w:color="auto"/>
      </w:divBdr>
    </w:div>
    <w:div w:id="1158230093">
      <w:bodyDiv w:val="1"/>
      <w:marLeft w:val="0"/>
      <w:marRight w:val="0"/>
      <w:marTop w:val="0"/>
      <w:marBottom w:val="0"/>
      <w:divBdr>
        <w:top w:val="none" w:sz="0" w:space="0" w:color="auto"/>
        <w:left w:val="none" w:sz="0" w:space="0" w:color="auto"/>
        <w:bottom w:val="none" w:sz="0" w:space="0" w:color="auto"/>
        <w:right w:val="none" w:sz="0" w:space="0" w:color="auto"/>
      </w:divBdr>
    </w:div>
    <w:div w:id="1172525510">
      <w:bodyDiv w:val="1"/>
      <w:marLeft w:val="0"/>
      <w:marRight w:val="0"/>
      <w:marTop w:val="0"/>
      <w:marBottom w:val="0"/>
      <w:divBdr>
        <w:top w:val="none" w:sz="0" w:space="0" w:color="auto"/>
        <w:left w:val="none" w:sz="0" w:space="0" w:color="auto"/>
        <w:bottom w:val="none" w:sz="0" w:space="0" w:color="auto"/>
        <w:right w:val="none" w:sz="0" w:space="0" w:color="auto"/>
      </w:divBdr>
      <w:divsChild>
        <w:div w:id="246571753">
          <w:marLeft w:val="446"/>
          <w:marRight w:val="0"/>
          <w:marTop w:val="0"/>
          <w:marBottom w:val="120"/>
          <w:divBdr>
            <w:top w:val="none" w:sz="0" w:space="0" w:color="auto"/>
            <w:left w:val="none" w:sz="0" w:space="0" w:color="auto"/>
            <w:bottom w:val="none" w:sz="0" w:space="0" w:color="auto"/>
            <w:right w:val="none" w:sz="0" w:space="0" w:color="auto"/>
          </w:divBdr>
        </w:div>
        <w:div w:id="389890631">
          <w:marLeft w:val="446"/>
          <w:marRight w:val="0"/>
          <w:marTop w:val="0"/>
          <w:marBottom w:val="120"/>
          <w:divBdr>
            <w:top w:val="none" w:sz="0" w:space="0" w:color="auto"/>
            <w:left w:val="none" w:sz="0" w:space="0" w:color="auto"/>
            <w:bottom w:val="none" w:sz="0" w:space="0" w:color="auto"/>
            <w:right w:val="none" w:sz="0" w:space="0" w:color="auto"/>
          </w:divBdr>
        </w:div>
      </w:divsChild>
    </w:div>
    <w:div w:id="1172530102">
      <w:bodyDiv w:val="1"/>
      <w:marLeft w:val="0"/>
      <w:marRight w:val="0"/>
      <w:marTop w:val="0"/>
      <w:marBottom w:val="0"/>
      <w:divBdr>
        <w:top w:val="none" w:sz="0" w:space="0" w:color="auto"/>
        <w:left w:val="none" w:sz="0" w:space="0" w:color="auto"/>
        <w:bottom w:val="none" w:sz="0" w:space="0" w:color="auto"/>
        <w:right w:val="none" w:sz="0" w:space="0" w:color="auto"/>
      </w:divBdr>
    </w:div>
    <w:div w:id="1181893810">
      <w:bodyDiv w:val="1"/>
      <w:marLeft w:val="0"/>
      <w:marRight w:val="0"/>
      <w:marTop w:val="0"/>
      <w:marBottom w:val="0"/>
      <w:divBdr>
        <w:top w:val="none" w:sz="0" w:space="0" w:color="auto"/>
        <w:left w:val="none" w:sz="0" w:space="0" w:color="auto"/>
        <w:bottom w:val="none" w:sz="0" w:space="0" w:color="auto"/>
        <w:right w:val="none" w:sz="0" w:space="0" w:color="auto"/>
      </w:divBdr>
    </w:div>
    <w:div w:id="1186359214">
      <w:bodyDiv w:val="1"/>
      <w:marLeft w:val="0"/>
      <w:marRight w:val="0"/>
      <w:marTop w:val="0"/>
      <w:marBottom w:val="0"/>
      <w:divBdr>
        <w:top w:val="none" w:sz="0" w:space="0" w:color="auto"/>
        <w:left w:val="none" w:sz="0" w:space="0" w:color="auto"/>
        <w:bottom w:val="none" w:sz="0" w:space="0" w:color="auto"/>
        <w:right w:val="none" w:sz="0" w:space="0" w:color="auto"/>
      </w:divBdr>
    </w:div>
    <w:div w:id="1186942247">
      <w:bodyDiv w:val="1"/>
      <w:marLeft w:val="0"/>
      <w:marRight w:val="0"/>
      <w:marTop w:val="0"/>
      <w:marBottom w:val="0"/>
      <w:divBdr>
        <w:top w:val="none" w:sz="0" w:space="0" w:color="auto"/>
        <w:left w:val="none" w:sz="0" w:space="0" w:color="auto"/>
        <w:bottom w:val="none" w:sz="0" w:space="0" w:color="auto"/>
        <w:right w:val="none" w:sz="0" w:space="0" w:color="auto"/>
      </w:divBdr>
    </w:div>
    <w:div w:id="1195339288">
      <w:bodyDiv w:val="1"/>
      <w:marLeft w:val="0"/>
      <w:marRight w:val="0"/>
      <w:marTop w:val="0"/>
      <w:marBottom w:val="0"/>
      <w:divBdr>
        <w:top w:val="none" w:sz="0" w:space="0" w:color="auto"/>
        <w:left w:val="none" w:sz="0" w:space="0" w:color="auto"/>
        <w:bottom w:val="none" w:sz="0" w:space="0" w:color="auto"/>
        <w:right w:val="none" w:sz="0" w:space="0" w:color="auto"/>
      </w:divBdr>
    </w:div>
    <w:div w:id="1205868216">
      <w:bodyDiv w:val="1"/>
      <w:marLeft w:val="0"/>
      <w:marRight w:val="0"/>
      <w:marTop w:val="0"/>
      <w:marBottom w:val="0"/>
      <w:divBdr>
        <w:top w:val="none" w:sz="0" w:space="0" w:color="auto"/>
        <w:left w:val="none" w:sz="0" w:space="0" w:color="auto"/>
        <w:bottom w:val="none" w:sz="0" w:space="0" w:color="auto"/>
        <w:right w:val="none" w:sz="0" w:space="0" w:color="auto"/>
      </w:divBdr>
    </w:div>
    <w:div w:id="1207528150">
      <w:bodyDiv w:val="1"/>
      <w:marLeft w:val="0"/>
      <w:marRight w:val="0"/>
      <w:marTop w:val="0"/>
      <w:marBottom w:val="0"/>
      <w:divBdr>
        <w:top w:val="none" w:sz="0" w:space="0" w:color="auto"/>
        <w:left w:val="none" w:sz="0" w:space="0" w:color="auto"/>
        <w:bottom w:val="none" w:sz="0" w:space="0" w:color="auto"/>
        <w:right w:val="none" w:sz="0" w:space="0" w:color="auto"/>
      </w:divBdr>
    </w:div>
    <w:div w:id="1210726239">
      <w:bodyDiv w:val="1"/>
      <w:marLeft w:val="0"/>
      <w:marRight w:val="0"/>
      <w:marTop w:val="0"/>
      <w:marBottom w:val="0"/>
      <w:divBdr>
        <w:top w:val="none" w:sz="0" w:space="0" w:color="auto"/>
        <w:left w:val="none" w:sz="0" w:space="0" w:color="auto"/>
        <w:bottom w:val="none" w:sz="0" w:space="0" w:color="auto"/>
        <w:right w:val="none" w:sz="0" w:space="0" w:color="auto"/>
      </w:divBdr>
    </w:div>
    <w:div w:id="1230578979">
      <w:bodyDiv w:val="1"/>
      <w:marLeft w:val="0"/>
      <w:marRight w:val="0"/>
      <w:marTop w:val="0"/>
      <w:marBottom w:val="0"/>
      <w:divBdr>
        <w:top w:val="none" w:sz="0" w:space="0" w:color="auto"/>
        <w:left w:val="none" w:sz="0" w:space="0" w:color="auto"/>
        <w:bottom w:val="none" w:sz="0" w:space="0" w:color="auto"/>
        <w:right w:val="none" w:sz="0" w:space="0" w:color="auto"/>
      </w:divBdr>
    </w:div>
    <w:div w:id="1244292941">
      <w:bodyDiv w:val="1"/>
      <w:marLeft w:val="0"/>
      <w:marRight w:val="0"/>
      <w:marTop w:val="0"/>
      <w:marBottom w:val="0"/>
      <w:divBdr>
        <w:top w:val="none" w:sz="0" w:space="0" w:color="auto"/>
        <w:left w:val="none" w:sz="0" w:space="0" w:color="auto"/>
        <w:bottom w:val="none" w:sz="0" w:space="0" w:color="auto"/>
        <w:right w:val="none" w:sz="0" w:space="0" w:color="auto"/>
      </w:divBdr>
    </w:div>
    <w:div w:id="1282224815">
      <w:bodyDiv w:val="1"/>
      <w:marLeft w:val="0"/>
      <w:marRight w:val="0"/>
      <w:marTop w:val="0"/>
      <w:marBottom w:val="0"/>
      <w:divBdr>
        <w:top w:val="none" w:sz="0" w:space="0" w:color="auto"/>
        <w:left w:val="none" w:sz="0" w:space="0" w:color="auto"/>
        <w:bottom w:val="none" w:sz="0" w:space="0" w:color="auto"/>
        <w:right w:val="none" w:sz="0" w:space="0" w:color="auto"/>
      </w:divBdr>
    </w:div>
    <w:div w:id="1283609029">
      <w:bodyDiv w:val="1"/>
      <w:marLeft w:val="0"/>
      <w:marRight w:val="0"/>
      <w:marTop w:val="0"/>
      <w:marBottom w:val="0"/>
      <w:divBdr>
        <w:top w:val="none" w:sz="0" w:space="0" w:color="auto"/>
        <w:left w:val="none" w:sz="0" w:space="0" w:color="auto"/>
        <w:bottom w:val="none" w:sz="0" w:space="0" w:color="auto"/>
        <w:right w:val="none" w:sz="0" w:space="0" w:color="auto"/>
      </w:divBdr>
    </w:div>
    <w:div w:id="1286542071">
      <w:bodyDiv w:val="1"/>
      <w:marLeft w:val="0"/>
      <w:marRight w:val="0"/>
      <w:marTop w:val="0"/>
      <w:marBottom w:val="0"/>
      <w:divBdr>
        <w:top w:val="none" w:sz="0" w:space="0" w:color="auto"/>
        <w:left w:val="none" w:sz="0" w:space="0" w:color="auto"/>
        <w:bottom w:val="none" w:sz="0" w:space="0" w:color="auto"/>
        <w:right w:val="none" w:sz="0" w:space="0" w:color="auto"/>
      </w:divBdr>
    </w:div>
    <w:div w:id="1303577637">
      <w:bodyDiv w:val="1"/>
      <w:marLeft w:val="0"/>
      <w:marRight w:val="0"/>
      <w:marTop w:val="0"/>
      <w:marBottom w:val="0"/>
      <w:divBdr>
        <w:top w:val="none" w:sz="0" w:space="0" w:color="auto"/>
        <w:left w:val="none" w:sz="0" w:space="0" w:color="auto"/>
        <w:bottom w:val="none" w:sz="0" w:space="0" w:color="auto"/>
        <w:right w:val="none" w:sz="0" w:space="0" w:color="auto"/>
      </w:divBdr>
    </w:div>
    <w:div w:id="1307197019">
      <w:bodyDiv w:val="1"/>
      <w:marLeft w:val="0"/>
      <w:marRight w:val="0"/>
      <w:marTop w:val="0"/>
      <w:marBottom w:val="0"/>
      <w:divBdr>
        <w:top w:val="none" w:sz="0" w:space="0" w:color="auto"/>
        <w:left w:val="none" w:sz="0" w:space="0" w:color="auto"/>
        <w:bottom w:val="none" w:sz="0" w:space="0" w:color="auto"/>
        <w:right w:val="none" w:sz="0" w:space="0" w:color="auto"/>
      </w:divBdr>
    </w:div>
    <w:div w:id="1322807022">
      <w:bodyDiv w:val="1"/>
      <w:marLeft w:val="0"/>
      <w:marRight w:val="0"/>
      <w:marTop w:val="0"/>
      <w:marBottom w:val="0"/>
      <w:divBdr>
        <w:top w:val="none" w:sz="0" w:space="0" w:color="auto"/>
        <w:left w:val="none" w:sz="0" w:space="0" w:color="auto"/>
        <w:bottom w:val="none" w:sz="0" w:space="0" w:color="auto"/>
        <w:right w:val="none" w:sz="0" w:space="0" w:color="auto"/>
      </w:divBdr>
    </w:div>
    <w:div w:id="1349136263">
      <w:bodyDiv w:val="1"/>
      <w:marLeft w:val="0"/>
      <w:marRight w:val="0"/>
      <w:marTop w:val="0"/>
      <w:marBottom w:val="0"/>
      <w:divBdr>
        <w:top w:val="none" w:sz="0" w:space="0" w:color="auto"/>
        <w:left w:val="none" w:sz="0" w:space="0" w:color="auto"/>
        <w:bottom w:val="none" w:sz="0" w:space="0" w:color="auto"/>
        <w:right w:val="none" w:sz="0" w:space="0" w:color="auto"/>
      </w:divBdr>
    </w:div>
    <w:div w:id="1391345627">
      <w:bodyDiv w:val="1"/>
      <w:marLeft w:val="0"/>
      <w:marRight w:val="0"/>
      <w:marTop w:val="0"/>
      <w:marBottom w:val="0"/>
      <w:divBdr>
        <w:top w:val="none" w:sz="0" w:space="0" w:color="auto"/>
        <w:left w:val="none" w:sz="0" w:space="0" w:color="auto"/>
        <w:bottom w:val="none" w:sz="0" w:space="0" w:color="auto"/>
        <w:right w:val="none" w:sz="0" w:space="0" w:color="auto"/>
      </w:divBdr>
    </w:div>
    <w:div w:id="1406099629">
      <w:bodyDiv w:val="1"/>
      <w:marLeft w:val="0"/>
      <w:marRight w:val="0"/>
      <w:marTop w:val="0"/>
      <w:marBottom w:val="0"/>
      <w:divBdr>
        <w:top w:val="none" w:sz="0" w:space="0" w:color="auto"/>
        <w:left w:val="none" w:sz="0" w:space="0" w:color="auto"/>
        <w:bottom w:val="none" w:sz="0" w:space="0" w:color="auto"/>
        <w:right w:val="none" w:sz="0" w:space="0" w:color="auto"/>
      </w:divBdr>
    </w:div>
    <w:div w:id="1426415344">
      <w:bodyDiv w:val="1"/>
      <w:marLeft w:val="0"/>
      <w:marRight w:val="0"/>
      <w:marTop w:val="0"/>
      <w:marBottom w:val="0"/>
      <w:divBdr>
        <w:top w:val="none" w:sz="0" w:space="0" w:color="auto"/>
        <w:left w:val="none" w:sz="0" w:space="0" w:color="auto"/>
        <w:bottom w:val="none" w:sz="0" w:space="0" w:color="auto"/>
        <w:right w:val="none" w:sz="0" w:space="0" w:color="auto"/>
      </w:divBdr>
    </w:div>
    <w:div w:id="1431389047">
      <w:bodyDiv w:val="1"/>
      <w:marLeft w:val="0"/>
      <w:marRight w:val="0"/>
      <w:marTop w:val="0"/>
      <w:marBottom w:val="0"/>
      <w:divBdr>
        <w:top w:val="none" w:sz="0" w:space="0" w:color="auto"/>
        <w:left w:val="none" w:sz="0" w:space="0" w:color="auto"/>
        <w:bottom w:val="none" w:sz="0" w:space="0" w:color="auto"/>
        <w:right w:val="none" w:sz="0" w:space="0" w:color="auto"/>
      </w:divBdr>
    </w:div>
    <w:div w:id="1444567881">
      <w:bodyDiv w:val="1"/>
      <w:marLeft w:val="0"/>
      <w:marRight w:val="0"/>
      <w:marTop w:val="0"/>
      <w:marBottom w:val="0"/>
      <w:divBdr>
        <w:top w:val="none" w:sz="0" w:space="0" w:color="auto"/>
        <w:left w:val="none" w:sz="0" w:space="0" w:color="auto"/>
        <w:bottom w:val="none" w:sz="0" w:space="0" w:color="auto"/>
        <w:right w:val="none" w:sz="0" w:space="0" w:color="auto"/>
      </w:divBdr>
    </w:div>
    <w:div w:id="1472479815">
      <w:bodyDiv w:val="1"/>
      <w:marLeft w:val="0"/>
      <w:marRight w:val="0"/>
      <w:marTop w:val="0"/>
      <w:marBottom w:val="0"/>
      <w:divBdr>
        <w:top w:val="none" w:sz="0" w:space="0" w:color="auto"/>
        <w:left w:val="none" w:sz="0" w:space="0" w:color="auto"/>
        <w:bottom w:val="none" w:sz="0" w:space="0" w:color="auto"/>
        <w:right w:val="none" w:sz="0" w:space="0" w:color="auto"/>
      </w:divBdr>
    </w:div>
    <w:div w:id="1516335538">
      <w:bodyDiv w:val="1"/>
      <w:marLeft w:val="0"/>
      <w:marRight w:val="0"/>
      <w:marTop w:val="0"/>
      <w:marBottom w:val="0"/>
      <w:divBdr>
        <w:top w:val="none" w:sz="0" w:space="0" w:color="auto"/>
        <w:left w:val="none" w:sz="0" w:space="0" w:color="auto"/>
        <w:bottom w:val="none" w:sz="0" w:space="0" w:color="auto"/>
        <w:right w:val="none" w:sz="0" w:space="0" w:color="auto"/>
      </w:divBdr>
    </w:div>
    <w:div w:id="1522814810">
      <w:bodyDiv w:val="1"/>
      <w:marLeft w:val="0"/>
      <w:marRight w:val="0"/>
      <w:marTop w:val="0"/>
      <w:marBottom w:val="0"/>
      <w:divBdr>
        <w:top w:val="none" w:sz="0" w:space="0" w:color="auto"/>
        <w:left w:val="none" w:sz="0" w:space="0" w:color="auto"/>
        <w:bottom w:val="none" w:sz="0" w:space="0" w:color="auto"/>
        <w:right w:val="none" w:sz="0" w:space="0" w:color="auto"/>
      </w:divBdr>
    </w:div>
    <w:div w:id="1547838094">
      <w:bodyDiv w:val="1"/>
      <w:marLeft w:val="0"/>
      <w:marRight w:val="0"/>
      <w:marTop w:val="0"/>
      <w:marBottom w:val="0"/>
      <w:divBdr>
        <w:top w:val="none" w:sz="0" w:space="0" w:color="auto"/>
        <w:left w:val="none" w:sz="0" w:space="0" w:color="auto"/>
        <w:bottom w:val="none" w:sz="0" w:space="0" w:color="auto"/>
        <w:right w:val="none" w:sz="0" w:space="0" w:color="auto"/>
      </w:divBdr>
    </w:div>
    <w:div w:id="1587227630">
      <w:bodyDiv w:val="1"/>
      <w:marLeft w:val="0"/>
      <w:marRight w:val="0"/>
      <w:marTop w:val="0"/>
      <w:marBottom w:val="0"/>
      <w:divBdr>
        <w:top w:val="none" w:sz="0" w:space="0" w:color="auto"/>
        <w:left w:val="none" w:sz="0" w:space="0" w:color="auto"/>
        <w:bottom w:val="none" w:sz="0" w:space="0" w:color="auto"/>
        <w:right w:val="none" w:sz="0" w:space="0" w:color="auto"/>
      </w:divBdr>
    </w:div>
    <w:div w:id="1609658042">
      <w:bodyDiv w:val="1"/>
      <w:marLeft w:val="0"/>
      <w:marRight w:val="0"/>
      <w:marTop w:val="0"/>
      <w:marBottom w:val="0"/>
      <w:divBdr>
        <w:top w:val="none" w:sz="0" w:space="0" w:color="auto"/>
        <w:left w:val="none" w:sz="0" w:space="0" w:color="auto"/>
        <w:bottom w:val="none" w:sz="0" w:space="0" w:color="auto"/>
        <w:right w:val="none" w:sz="0" w:space="0" w:color="auto"/>
      </w:divBdr>
    </w:div>
    <w:div w:id="1610968269">
      <w:bodyDiv w:val="1"/>
      <w:marLeft w:val="0"/>
      <w:marRight w:val="0"/>
      <w:marTop w:val="0"/>
      <w:marBottom w:val="0"/>
      <w:divBdr>
        <w:top w:val="none" w:sz="0" w:space="0" w:color="auto"/>
        <w:left w:val="none" w:sz="0" w:space="0" w:color="auto"/>
        <w:bottom w:val="none" w:sz="0" w:space="0" w:color="auto"/>
        <w:right w:val="none" w:sz="0" w:space="0" w:color="auto"/>
      </w:divBdr>
    </w:div>
    <w:div w:id="1619021779">
      <w:bodyDiv w:val="1"/>
      <w:marLeft w:val="0"/>
      <w:marRight w:val="0"/>
      <w:marTop w:val="0"/>
      <w:marBottom w:val="0"/>
      <w:divBdr>
        <w:top w:val="none" w:sz="0" w:space="0" w:color="auto"/>
        <w:left w:val="none" w:sz="0" w:space="0" w:color="auto"/>
        <w:bottom w:val="none" w:sz="0" w:space="0" w:color="auto"/>
        <w:right w:val="none" w:sz="0" w:space="0" w:color="auto"/>
      </w:divBdr>
    </w:div>
    <w:div w:id="1625773562">
      <w:bodyDiv w:val="1"/>
      <w:marLeft w:val="0"/>
      <w:marRight w:val="0"/>
      <w:marTop w:val="0"/>
      <w:marBottom w:val="0"/>
      <w:divBdr>
        <w:top w:val="none" w:sz="0" w:space="0" w:color="auto"/>
        <w:left w:val="none" w:sz="0" w:space="0" w:color="auto"/>
        <w:bottom w:val="none" w:sz="0" w:space="0" w:color="auto"/>
        <w:right w:val="none" w:sz="0" w:space="0" w:color="auto"/>
      </w:divBdr>
    </w:div>
    <w:div w:id="1645504057">
      <w:bodyDiv w:val="1"/>
      <w:marLeft w:val="0"/>
      <w:marRight w:val="0"/>
      <w:marTop w:val="0"/>
      <w:marBottom w:val="0"/>
      <w:divBdr>
        <w:top w:val="none" w:sz="0" w:space="0" w:color="auto"/>
        <w:left w:val="none" w:sz="0" w:space="0" w:color="auto"/>
        <w:bottom w:val="none" w:sz="0" w:space="0" w:color="auto"/>
        <w:right w:val="none" w:sz="0" w:space="0" w:color="auto"/>
      </w:divBdr>
      <w:divsChild>
        <w:div w:id="1070885393">
          <w:marLeft w:val="0"/>
          <w:marRight w:val="0"/>
          <w:marTop w:val="0"/>
          <w:marBottom w:val="0"/>
          <w:divBdr>
            <w:top w:val="none" w:sz="0" w:space="0" w:color="auto"/>
            <w:left w:val="none" w:sz="0" w:space="0" w:color="auto"/>
            <w:bottom w:val="none" w:sz="0" w:space="0" w:color="auto"/>
            <w:right w:val="none" w:sz="0" w:space="0" w:color="auto"/>
          </w:divBdr>
          <w:divsChild>
            <w:div w:id="1234003887">
              <w:marLeft w:val="0"/>
              <w:marRight w:val="0"/>
              <w:marTop w:val="0"/>
              <w:marBottom w:val="0"/>
              <w:divBdr>
                <w:top w:val="none" w:sz="0" w:space="0" w:color="auto"/>
                <w:left w:val="none" w:sz="0" w:space="0" w:color="auto"/>
                <w:bottom w:val="none" w:sz="0" w:space="0" w:color="auto"/>
                <w:right w:val="none" w:sz="0" w:space="0" w:color="auto"/>
              </w:divBdr>
            </w:div>
          </w:divsChild>
        </w:div>
        <w:div w:id="30494051">
          <w:marLeft w:val="0"/>
          <w:marRight w:val="0"/>
          <w:marTop w:val="0"/>
          <w:marBottom w:val="0"/>
          <w:divBdr>
            <w:top w:val="none" w:sz="0" w:space="0" w:color="auto"/>
            <w:left w:val="none" w:sz="0" w:space="0" w:color="auto"/>
            <w:bottom w:val="none" w:sz="0" w:space="0" w:color="auto"/>
            <w:right w:val="none" w:sz="0" w:space="0" w:color="auto"/>
          </w:divBdr>
        </w:div>
      </w:divsChild>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
    <w:div w:id="1682587675">
      <w:bodyDiv w:val="1"/>
      <w:marLeft w:val="0"/>
      <w:marRight w:val="0"/>
      <w:marTop w:val="0"/>
      <w:marBottom w:val="0"/>
      <w:divBdr>
        <w:top w:val="none" w:sz="0" w:space="0" w:color="auto"/>
        <w:left w:val="none" w:sz="0" w:space="0" w:color="auto"/>
        <w:bottom w:val="none" w:sz="0" w:space="0" w:color="auto"/>
        <w:right w:val="none" w:sz="0" w:space="0" w:color="auto"/>
      </w:divBdr>
    </w:div>
    <w:div w:id="1705011155">
      <w:bodyDiv w:val="1"/>
      <w:marLeft w:val="0"/>
      <w:marRight w:val="0"/>
      <w:marTop w:val="0"/>
      <w:marBottom w:val="0"/>
      <w:divBdr>
        <w:top w:val="none" w:sz="0" w:space="0" w:color="auto"/>
        <w:left w:val="none" w:sz="0" w:space="0" w:color="auto"/>
        <w:bottom w:val="none" w:sz="0" w:space="0" w:color="auto"/>
        <w:right w:val="none" w:sz="0" w:space="0" w:color="auto"/>
      </w:divBdr>
    </w:div>
    <w:div w:id="1719434174">
      <w:bodyDiv w:val="1"/>
      <w:marLeft w:val="0"/>
      <w:marRight w:val="0"/>
      <w:marTop w:val="0"/>
      <w:marBottom w:val="0"/>
      <w:divBdr>
        <w:top w:val="none" w:sz="0" w:space="0" w:color="auto"/>
        <w:left w:val="none" w:sz="0" w:space="0" w:color="auto"/>
        <w:bottom w:val="none" w:sz="0" w:space="0" w:color="auto"/>
        <w:right w:val="none" w:sz="0" w:space="0" w:color="auto"/>
      </w:divBdr>
    </w:div>
    <w:div w:id="1723167996">
      <w:bodyDiv w:val="1"/>
      <w:marLeft w:val="0"/>
      <w:marRight w:val="0"/>
      <w:marTop w:val="0"/>
      <w:marBottom w:val="0"/>
      <w:divBdr>
        <w:top w:val="none" w:sz="0" w:space="0" w:color="auto"/>
        <w:left w:val="none" w:sz="0" w:space="0" w:color="auto"/>
        <w:bottom w:val="none" w:sz="0" w:space="0" w:color="auto"/>
        <w:right w:val="none" w:sz="0" w:space="0" w:color="auto"/>
      </w:divBdr>
    </w:div>
    <w:div w:id="1726179001">
      <w:bodyDiv w:val="1"/>
      <w:marLeft w:val="0"/>
      <w:marRight w:val="0"/>
      <w:marTop w:val="0"/>
      <w:marBottom w:val="0"/>
      <w:divBdr>
        <w:top w:val="none" w:sz="0" w:space="0" w:color="auto"/>
        <w:left w:val="none" w:sz="0" w:space="0" w:color="auto"/>
        <w:bottom w:val="none" w:sz="0" w:space="0" w:color="auto"/>
        <w:right w:val="none" w:sz="0" w:space="0" w:color="auto"/>
      </w:divBdr>
    </w:div>
    <w:div w:id="1772387769">
      <w:bodyDiv w:val="1"/>
      <w:marLeft w:val="0"/>
      <w:marRight w:val="0"/>
      <w:marTop w:val="0"/>
      <w:marBottom w:val="0"/>
      <w:divBdr>
        <w:top w:val="none" w:sz="0" w:space="0" w:color="auto"/>
        <w:left w:val="none" w:sz="0" w:space="0" w:color="auto"/>
        <w:bottom w:val="none" w:sz="0" w:space="0" w:color="auto"/>
        <w:right w:val="none" w:sz="0" w:space="0" w:color="auto"/>
      </w:divBdr>
    </w:div>
    <w:div w:id="1778451962">
      <w:bodyDiv w:val="1"/>
      <w:marLeft w:val="0"/>
      <w:marRight w:val="0"/>
      <w:marTop w:val="0"/>
      <w:marBottom w:val="0"/>
      <w:divBdr>
        <w:top w:val="none" w:sz="0" w:space="0" w:color="auto"/>
        <w:left w:val="none" w:sz="0" w:space="0" w:color="auto"/>
        <w:bottom w:val="none" w:sz="0" w:space="0" w:color="auto"/>
        <w:right w:val="none" w:sz="0" w:space="0" w:color="auto"/>
      </w:divBdr>
    </w:div>
    <w:div w:id="1802727698">
      <w:bodyDiv w:val="1"/>
      <w:marLeft w:val="0"/>
      <w:marRight w:val="0"/>
      <w:marTop w:val="0"/>
      <w:marBottom w:val="0"/>
      <w:divBdr>
        <w:top w:val="none" w:sz="0" w:space="0" w:color="auto"/>
        <w:left w:val="none" w:sz="0" w:space="0" w:color="auto"/>
        <w:bottom w:val="none" w:sz="0" w:space="0" w:color="auto"/>
        <w:right w:val="none" w:sz="0" w:space="0" w:color="auto"/>
      </w:divBdr>
    </w:div>
    <w:div w:id="1815489600">
      <w:bodyDiv w:val="1"/>
      <w:marLeft w:val="0"/>
      <w:marRight w:val="0"/>
      <w:marTop w:val="0"/>
      <w:marBottom w:val="0"/>
      <w:divBdr>
        <w:top w:val="none" w:sz="0" w:space="0" w:color="auto"/>
        <w:left w:val="none" w:sz="0" w:space="0" w:color="auto"/>
        <w:bottom w:val="none" w:sz="0" w:space="0" w:color="auto"/>
        <w:right w:val="none" w:sz="0" w:space="0" w:color="auto"/>
      </w:divBdr>
    </w:div>
    <w:div w:id="1831553582">
      <w:bodyDiv w:val="1"/>
      <w:marLeft w:val="0"/>
      <w:marRight w:val="0"/>
      <w:marTop w:val="0"/>
      <w:marBottom w:val="0"/>
      <w:divBdr>
        <w:top w:val="none" w:sz="0" w:space="0" w:color="auto"/>
        <w:left w:val="none" w:sz="0" w:space="0" w:color="auto"/>
        <w:bottom w:val="none" w:sz="0" w:space="0" w:color="auto"/>
        <w:right w:val="none" w:sz="0" w:space="0" w:color="auto"/>
      </w:divBdr>
    </w:div>
    <w:div w:id="1832521262">
      <w:bodyDiv w:val="1"/>
      <w:marLeft w:val="0"/>
      <w:marRight w:val="0"/>
      <w:marTop w:val="0"/>
      <w:marBottom w:val="0"/>
      <w:divBdr>
        <w:top w:val="none" w:sz="0" w:space="0" w:color="auto"/>
        <w:left w:val="none" w:sz="0" w:space="0" w:color="auto"/>
        <w:bottom w:val="none" w:sz="0" w:space="0" w:color="auto"/>
        <w:right w:val="none" w:sz="0" w:space="0" w:color="auto"/>
      </w:divBdr>
    </w:div>
    <w:div w:id="1843467369">
      <w:bodyDiv w:val="1"/>
      <w:marLeft w:val="0"/>
      <w:marRight w:val="0"/>
      <w:marTop w:val="0"/>
      <w:marBottom w:val="0"/>
      <w:divBdr>
        <w:top w:val="none" w:sz="0" w:space="0" w:color="auto"/>
        <w:left w:val="none" w:sz="0" w:space="0" w:color="auto"/>
        <w:bottom w:val="none" w:sz="0" w:space="0" w:color="auto"/>
        <w:right w:val="none" w:sz="0" w:space="0" w:color="auto"/>
      </w:divBdr>
    </w:div>
    <w:div w:id="1901479128">
      <w:bodyDiv w:val="1"/>
      <w:marLeft w:val="0"/>
      <w:marRight w:val="0"/>
      <w:marTop w:val="0"/>
      <w:marBottom w:val="0"/>
      <w:divBdr>
        <w:top w:val="none" w:sz="0" w:space="0" w:color="auto"/>
        <w:left w:val="none" w:sz="0" w:space="0" w:color="auto"/>
        <w:bottom w:val="none" w:sz="0" w:space="0" w:color="auto"/>
        <w:right w:val="none" w:sz="0" w:space="0" w:color="auto"/>
      </w:divBdr>
    </w:div>
    <w:div w:id="1904871891">
      <w:bodyDiv w:val="1"/>
      <w:marLeft w:val="0"/>
      <w:marRight w:val="0"/>
      <w:marTop w:val="0"/>
      <w:marBottom w:val="0"/>
      <w:divBdr>
        <w:top w:val="none" w:sz="0" w:space="0" w:color="auto"/>
        <w:left w:val="none" w:sz="0" w:space="0" w:color="auto"/>
        <w:bottom w:val="none" w:sz="0" w:space="0" w:color="auto"/>
        <w:right w:val="none" w:sz="0" w:space="0" w:color="auto"/>
      </w:divBdr>
      <w:divsChild>
        <w:div w:id="1980766253">
          <w:marLeft w:val="0"/>
          <w:marRight w:val="0"/>
          <w:marTop w:val="0"/>
          <w:marBottom w:val="0"/>
          <w:divBdr>
            <w:top w:val="none" w:sz="0" w:space="0" w:color="auto"/>
            <w:left w:val="none" w:sz="0" w:space="0" w:color="auto"/>
            <w:bottom w:val="none" w:sz="0" w:space="0" w:color="auto"/>
            <w:right w:val="none" w:sz="0" w:space="0" w:color="auto"/>
          </w:divBdr>
          <w:divsChild>
            <w:div w:id="1060638911">
              <w:marLeft w:val="0"/>
              <w:marRight w:val="0"/>
              <w:marTop w:val="0"/>
              <w:marBottom w:val="0"/>
              <w:divBdr>
                <w:top w:val="none" w:sz="0" w:space="0" w:color="auto"/>
                <w:left w:val="none" w:sz="0" w:space="0" w:color="auto"/>
                <w:bottom w:val="none" w:sz="0" w:space="0" w:color="auto"/>
                <w:right w:val="none" w:sz="0" w:space="0" w:color="auto"/>
              </w:divBdr>
            </w:div>
          </w:divsChild>
        </w:div>
        <w:div w:id="1016732643">
          <w:marLeft w:val="0"/>
          <w:marRight w:val="0"/>
          <w:marTop w:val="0"/>
          <w:marBottom w:val="0"/>
          <w:divBdr>
            <w:top w:val="none" w:sz="0" w:space="0" w:color="auto"/>
            <w:left w:val="none" w:sz="0" w:space="0" w:color="auto"/>
            <w:bottom w:val="none" w:sz="0" w:space="0" w:color="auto"/>
            <w:right w:val="none" w:sz="0" w:space="0" w:color="auto"/>
          </w:divBdr>
        </w:div>
      </w:divsChild>
    </w:div>
    <w:div w:id="1933120955">
      <w:bodyDiv w:val="1"/>
      <w:marLeft w:val="0"/>
      <w:marRight w:val="0"/>
      <w:marTop w:val="0"/>
      <w:marBottom w:val="0"/>
      <w:divBdr>
        <w:top w:val="none" w:sz="0" w:space="0" w:color="auto"/>
        <w:left w:val="none" w:sz="0" w:space="0" w:color="auto"/>
        <w:bottom w:val="none" w:sz="0" w:space="0" w:color="auto"/>
        <w:right w:val="none" w:sz="0" w:space="0" w:color="auto"/>
      </w:divBdr>
    </w:div>
    <w:div w:id="1936206057">
      <w:bodyDiv w:val="1"/>
      <w:marLeft w:val="0"/>
      <w:marRight w:val="0"/>
      <w:marTop w:val="0"/>
      <w:marBottom w:val="0"/>
      <w:divBdr>
        <w:top w:val="none" w:sz="0" w:space="0" w:color="auto"/>
        <w:left w:val="none" w:sz="0" w:space="0" w:color="auto"/>
        <w:bottom w:val="none" w:sz="0" w:space="0" w:color="auto"/>
        <w:right w:val="none" w:sz="0" w:space="0" w:color="auto"/>
      </w:divBdr>
      <w:divsChild>
        <w:div w:id="549614650">
          <w:marLeft w:val="547"/>
          <w:marRight w:val="0"/>
          <w:marTop w:val="154"/>
          <w:marBottom w:val="0"/>
          <w:divBdr>
            <w:top w:val="none" w:sz="0" w:space="0" w:color="auto"/>
            <w:left w:val="none" w:sz="0" w:space="0" w:color="auto"/>
            <w:bottom w:val="none" w:sz="0" w:space="0" w:color="auto"/>
            <w:right w:val="none" w:sz="0" w:space="0" w:color="auto"/>
          </w:divBdr>
        </w:div>
      </w:divsChild>
    </w:div>
    <w:div w:id="1952659746">
      <w:bodyDiv w:val="1"/>
      <w:marLeft w:val="0"/>
      <w:marRight w:val="0"/>
      <w:marTop w:val="0"/>
      <w:marBottom w:val="0"/>
      <w:divBdr>
        <w:top w:val="none" w:sz="0" w:space="0" w:color="auto"/>
        <w:left w:val="none" w:sz="0" w:space="0" w:color="auto"/>
        <w:bottom w:val="none" w:sz="0" w:space="0" w:color="auto"/>
        <w:right w:val="none" w:sz="0" w:space="0" w:color="auto"/>
      </w:divBdr>
    </w:div>
    <w:div w:id="1960918492">
      <w:bodyDiv w:val="1"/>
      <w:marLeft w:val="0"/>
      <w:marRight w:val="0"/>
      <w:marTop w:val="0"/>
      <w:marBottom w:val="0"/>
      <w:divBdr>
        <w:top w:val="none" w:sz="0" w:space="0" w:color="auto"/>
        <w:left w:val="none" w:sz="0" w:space="0" w:color="auto"/>
        <w:bottom w:val="none" w:sz="0" w:space="0" w:color="auto"/>
        <w:right w:val="none" w:sz="0" w:space="0" w:color="auto"/>
      </w:divBdr>
    </w:div>
    <w:div w:id="1963876172">
      <w:bodyDiv w:val="1"/>
      <w:marLeft w:val="0"/>
      <w:marRight w:val="0"/>
      <w:marTop w:val="0"/>
      <w:marBottom w:val="0"/>
      <w:divBdr>
        <w:top w:val="none" w:sz="0" w:space="0" w:color="auto"/>
        <w:left w:val="none" w:sz="0" w:space="0" w:color="auto"/>
        <w:bottom w:val="none" w:sz="0" w:space="0" w:color="auto"/>
        <w:right w:val="none" w:sz="0" w:space="0" w:color="auto"/>
      </w:divBdr>
    </w:div>
    <w:div w:id="1965965289">
      <w:bodyDiv w:val="1"/>
      <w:marLeft w:val="0"/>
      <w:marRight w:val="0"/>
      <w:marTop w:val="0"/>
      <w:marBottom w:val="0"/>
      <w:divBdr>
        <w:top w:val="none" w:sz="0" w:space="0" w:color="auto"/>
        <w:left w:val="none" w:sz="0" w:space="0" w:color="auto"/>
        <w:bottom w:val="none" w:sz="0" w:space="0" w:color="auto"/>
        <w:right w:val="none" w:sz="0" w:space="0" w:color="auto"/>
      </w:divBdr>
    </w:div>
    <w:div w:id="1968925471">
      <w:bodyDiv w:val="1"/>
      <w:marLeft w:val="0"/>
      <w:marRight w:val="0"/>
      <w:marTop w:val="0"/>
      <w:marBottom w:val="0"/>
      <w:divBdr>
        <w:top w:val="none" w:sz="0" w:space="0" w:color="auto"/>
        <w:left w:val="none" w:sz="0" w:space="0" w:color="auto"/>
        <w:bottom w:val="none" w:sz="0" w:space="0" w:color="auto"/>
        <w:right w:val="none" w:sz="0" w:space="0" w:color="auto"/>
      </w:divBdr>
    </w:div>
    <w:div w:id="1982464286">
      <w:bodyDiv w:val="1"/>
      <w:marLeft w:val="0"/>
      <w:marRight w:val="0"/>
      <w:marTop w:val="0"/>
      <w:marBottom w:val="0"/>
      <w:divBdr>
        <w:top w:val="none" w:sz="0" w:space="0" w:color="auto"/>
        <w:left w:val="none" w:sz="0" w:space="0" w:color="auto"/>
        <w:bottom w:val="none" w:sz="0" w:space="0" w:color="auto"/>
        <w:right w:val="none" w:sz="0" w:space="0" w:color="auto"/>
      </w:divBdr>
    </w:div>
    <w:div w:id="1993899269">
      <w:bodyDiv w:val="1"/>
      <w:marLeft w:val="0"/>
      <w:marRight w:val="0"/>
      <w:marTop w:val="0"/>
      <w:marBottom w:val="0"/>
      <w:divBdr>
        <w:top w:val="none" w:sz="0" w:space="0" w:color="auto"/>
        <w:left w:val="none" w:sz="0" w:space="0" w:color="auto"/>
        <w:bottom w:val="none" w:sz="0" w:space="0" w:color="auto"/>
        <w:right w:val="none" w:sz="0" w:space="0" w:color="auto"/>
      </w:divBdr>
    </w:div>
    <w:div w:id="2013987645">
      <w:bodyDiv w:val="1"/>
      <w:marLeft w:val="0"/>
      <w:marRight w:val="0"/>
      <w:marTop w:val="0"/>
      <w:marBottom w:val="0"/>
      <w:divBdr>
        <w:top w:val="none" w:sz="0" w:space="0" w:color="auto"/>
        <w:left w:val="none" w:sz="0" w:space="0" w:color="auto"/>
        <w:bottom w:val="none" w:sz="0" w:space="0" w:color="auto"/>
        <w:right w:val="none" w:sz="0" w:space="0" w:color="auto"/>
      </w:divBdr>
    </w:div>
    <w:div w:id="2016031033">
      <w:bodyDiv w:val="1"/>
      <w:marLeft w:val="0"/>
      <w:marRight w:val="0"/>
      <w:marTop w:val="0"/>
      <w:marBottom w:val="0"/>
      <w:divBdr>
        <w:top w:val="none" w:sz="0" w:space="0" w:color="auto"/>
        <w:left w:val="none" w:sz="0" w:space="0" w:color="auto"/>
        <w:bottom w:val="none" w:sz="0" w:space="0" w:color="auto"/>
        <w:right w:val="none" w:sz="0" w:space="0" w:color="auto"/>
      </w:divBdr>
    </w:div>
    <w:div w:id="2081829781">
      <w:bodyDiv w:val="1"/>
      <w:marLeft w:val="0"/>
      <w:marRight w:val="0"/>
      <w:marTop w:val="0"/>
      <w:marBottom w:val="0"/>
      <w:divBdr>
        <w:top w:val="none" w:sz="0" w:space="0" w:color="auto"/>
        <w:left w:val="none" w:sz="0" w:space="0" w:color="auto"/>
        <w:bottom w:val="none" w:sz="0" w:space="0" w:color="auto"/>
        <w:right w:val="none" w:sz="0" w:space="0" w:color="auto"/>
      </w:divBdr>
    </w:div>
    <w:div w:id="2099789303">
      <w:bodyDiv w:val="1"/>
      <w:marLeft w:val="0"/>
      <w:marRight w:val="0"/>
      <w:marTop w:val="0"/>
      <w:marBottom w:val="0"/>
      <w:divBdr>
        <w:top w:val="none" w:sz="0" w:space="0" w:color="auto"/>
        <w:left w:val="none" w:sz="0" w:space="0" w:color="auto"/>
        <w:bottom w:val="none" w:sz="0" w:space="0" w:color="auto"/>
        <w:right w:val="none" w:sz="0" w:space="0" w:color="auto"/>
      </w:divBdr>
    </w:div>
    <w:div w:id="2102876289">
      <w:bodyDiv w:val="1"/>
      <w:marLeft w:val="0"/>
      <w:marRight w:val="0"/>
      <w:marTop w:val="0"/>
      <w:marBottom w:val="0"/>
      <w:divBdr>
        <w:top w:val="none" w:sz="0" w:space="0" w:color="auto"/>
        <w:left w:val="none" w:sz="0" w:space="0" w:color="auto"/>
        <w:bottom w:val="none" w:sz="0" w:space="0" w:color="auto"/>
        <w:right w:val="none" w:sz="0" w:space="0" w:color="auto"/>
      </w:divBdr>
    </w:div>
    <w:div w:id="2118090582">
      <w:bodyDiv w:val="1"/>
      <w:marLeft w:val="0"/>
      <w:marRight w:val="0"/>
      <w:marTop w:val="0"/>
      <w:marBottom w:val="0"/>
      <w:divBdr>
        <w:top w:val="none" w:sz="0" w:space="0" w:color="auto"/>
        <w:left w:val="none" w:sz="0" w:space="0" w:color="auto"/>
        <w:bottom w:val="none" w:sz="0" w:space="0" w:color="auto"/>
        <w:right w:val="none" w:sz="0" w:space="0" w:color="auto"/>
      </w:divBdr>
    </w:div>
    <w:div w:id="2128425936">
      <w:bodyDiv w:val="1"/>
      <w:marLeft w:val="0"/>
      <w:marRight w:val="0"/>
      <w:marTop w:val="0"/>
      <w:marBottom w:val="0"/>
      <w:divBdr>
        <w:top w:val="none" w:sz="0" w:space="0" w:color="auto"/>
        <w:left w:val="none" w:sz="0" w:space="0" w:color="auto"/>
        <w:bottom w:val="none" w:sz="0" w:space="0" w:color="auto"/>
        <w:right w:val="none" w:sz="0" w:space="0" w:color="auto"/>
      </w:divBdr>
    </w:div>
    <w:div w:id="21444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k.hrsa.gov/downloads/fqhc-rhccomparison.pdf" TargetMode="External"/><Relationship Id="rId13" Type="http://schemas.openxmlformats.org/officeDocument/2006/relationships/hyperlink" Target="http://www.cms.gov/manuals/downloads/clm104c09.pdf" TargetMode="External"/><Relationship Id="rId18" Type="http://schemas.openxmlformats.org/officeDocument/2006/relationships/hyperlink" Target="http://bhpr.hrsa.gov/shortage/hpsas/ruralhealthhpsa.html" TargetMode="External"/><Relationship Id="rId26" Type="http://schemas.openxmlformats.org/officeDocument/2006/relationships/hyperlink" Target="http://www.cms.gov/Medicare/Coding/ICD10/ICD-10ImplementationTimelines.html" TargetMode="External"/><Relationship Id="rId3" Type="http://schemas.openxmlformats.org/officeDocument/2006/relationships/styles" Target="styles.xml"/><Relationship Id="rId21" Type="http://schemas.openxmlformats.org/officeDocument/2006/relationships/hyperlink" Target="http://www.census.gov/geo/www/ua/2010urbanruralclass.html" TargetMode="External"/><Relationship Id="rId34" Type="http://schemas.openxmlformats.org/officeDocument/2006/relationships/hyperlink" Target="http://nhsc.hrsa.gov/sites/becomenhscapprovedsite/index.html" TargetMode="External"/><Relationship Id="rId7" Type="http://schemas.openxmlformats.org/officeDocument/2006/relationships/hyperlink" Target="http://www.hrsa.gov/ruralhealth/pdf/rhcmanual1.pdf" TargetMode="External"/><Relationship Id="rId12" Type="http://schemas.openxmlformats.org/officeDocument/2006/relationships/hyperlink" Target="http://www.cms.gov/CertificationandComplianc/18_RHCs.asp" TargetMode="External"/><Relationship Id="rId17" Type="http://schemas.openxmlformats.org/officeDocument/2006/relationships/hyperlink" Target="http://www.cms.gov/Medicare/Provider-Enrollment-and-Certification/SurveyCertificationGenInfo/downloads/State_Agency_Contacts.pdf" TargetMode="External"/><Relationship Id="rId25" Type="http://schemas.openxmlformats.org/officeDocument/2006/relationships/hyperlink" Target="http://www.trha.org/Conference_2009/Presentations/10%20Access%20to%20Care%20Models%20-%20A%20Comparison%20of%20RHCs%20and%20FQHCs%20-.pdf" TargetMode="External"/><Relationship Id="rId33" Type="http://schemas.openxmlformats.org/officeDocument/2006/relationships/hyperlink" Target="https://www.cms.gov/Transmittals/Downloads/R114BP.pdf" TargetMode="External"/><Relationship Id="rId2" Type="http://schemas.openxmlformats.org/officeDocument/2006/relationships/numbering" Target="numbering.xml"/><Relationship Id="rId16" Type="http://schemas.openxmlformats.org/officeDocument/2006/relationships/hyperlink" Target="https://www.cms.gov/MedicareAdvtgSpecRateStats/downloads/oon-payments.pdf" TargetMode="External"/><Relationship Id="rId20" Type="http://schemas.openxmlformats.org/officeDocument/2006/relationships/hyperlink" Target="http://factfinder2.census.gov/faces/nav/jsf/pages/searchresults.xhtml?ref=addr&amp;refresh=t" TargetMode="External"/><Relationship Id="rId29" Type="http://schemas.openxmlformats.org/officeDocument/2006/relationships/hyperlink" Target="http://www.cms.gov/Regulations-and-Guidance/Legislation/EHRIncentivePrograms/MedicaidStateInfo.html" TargetMode="External"/><Relationship Id="rId1" Type="http://schemas.openxmlformats.org/officeDocument/2006/relationships/customXml" Target="../customXml/item1.xml"/><Relationship Id="rId6" Type="http://schemas.openxmlformats.org/officeDocument/2006/relationships/hyperlink" Target="http://www.hrsa.gov/ruralhealth/policy/confcall/" TargetMode="External"/><Relationship Id="rId11" Type="http://schemas.openxmlformats.org/officeDocument/2006/relationships/hyperlink" Target="http://www.cms.gov/Outreach-and-Education/Medicare-Learning-Network-MLN/MLNProducts/Downloads/RuralHlthClinfctsht.pdf" TargetMode="External"/><Relationship Id="rId24" Type="http://schemas.openxmlformats.org/officeDocument/2006/relationships/hyperlink" Target="http://www.ask.hrsa.gov/downloads/fqhc-rhccomparison.pdf" TargetMode="External"/><Relationship Id="rId32" Type="http://schemas.openxmlformats.org/officeDocument/2006/relationships/hyperlink" Target="http://www.mytrnsactrx.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gov/Research-Statistics-Data-and-Systems/Monitoring-Programs/provider-compliance-interactive-map/index.html" TargetMode="External"/><Relationship Id="rId23" Type="http://schemas.openxmlformats.org/officeDocument/2006/relationships/hyperlink" Target="http://www.cms.gov/SurveyCertificationGenInfo/Downloads/State_Agency_Contacts.pdf" TargetMode="External"/><Relationship Id="rId28" Type="http://schemas.openxmlformats.org/officeDocument/2006/relationships/hyperlink" Target="http://www.cms.gov/Regulations-and-Guidance/Legislation/EHRIncentivePrograms/index.html" TargetMode="External"/><Relationship Id="rId36" Type="http://schemas.openxmlformats.org/officeDocument/2006/relationships/fontTable" Target="fontTable.xml"/><Relationship Id="rId10" Type="http://schemas.openxmlformats.org/officeDocument/2006/relationships/hyperlink" Target="http://www.cms.gov/center/rural.asp" TargetMode="External"/><Relationship Id="rId19" Type="http://schemas.openxmlformats.org/officeDocument/2006/relationships/hyperlink" Target="http://ims2.missouri.edu/rac/amirural/default.asp" TargetMode="External"/><Relationship Id="rId31" Type="http://schemas.openxmlformats.org/officeDocument/2006/relationships/hyperlink" Target="http://www.cms.gov/MLNMattersArticles/downloads/SE1038.pdf" TargetMode="External"/><Relationship Id="rId4" Type="http://schemas.openxmlformats.org/officeDocument/2006/relationships/settings" Target="settings.xml"/><Relationship Id="rId9" Type="http://schemas.openxmlformats.org/officeDocument/2006/relationships/hyperlink" Target="http://www.raconline.org/topics/clinics/rhc.php" TargetMode="External"/><Relationship Id="rId14" Type="http://schemas.openxmlformats.org/officeDocument/2006/relationships/hyperlink" Target="http://www.cms.gov/manuals/Downloads/bp102c13.pdf" TargetMode="External"/><Relationship Id="rId22" Type="http://schemas.openxmlformats.org/officeDocument/2006/relationships/hyperlink" Target="http://bhpr.hrsa.gov/shortage/shortageareas/index.html" TargetMode="External"/><Relationship Id="rId27" Type="http://schemas.openxmlformats.org/officeDocument/2006/relationships/hyperlink" Target="https://www.qualitynet.org/portal/server.pt/community/communications_support_system/234" TargetMode="External"/><Relationship Id="rId30" Type="http://schemas.openxmlformats.org/officeDocument/2006/relationships/hyperlink" Target="http://www.gpo.gov/fdsys/pkg/FR-2013-01-25/pdf/2013-01073.pdf" TargetMode="External"/><Relationship Id="rId35" Type="http://schemas.openxmlformats.org/officeDocument/2006/relationships/hyperlink" Target="http://www.hhs.gov/ocr/civilrights/clearance/pregrant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61DD3-CCEA-4B81-93D8-15C6AF37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6820</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45609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WinXPUniv</dc:creator>
  <cp:lastModifiedBy>Matthew Strycker</cp:lastModifiedBy>
  <cp:revision>2</cp:revision>
  <dcterms:created xsi:type="dcterms:W3CDTF">2014-02-13T19:56:00Z</dcterms:created>
  <dcterms:modified xsi:type="dcterms:W3CDTF">2014-02-13T19:56:00Z</dcterms:modified>
</cp:coreProperties>
</file>