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0" w:rsidRPr="001E3A70" w:rsidRDefault="001E3A70" w:rsidP="00D65141">
      <w:pPr>
        <w:spacing w:after="120"/>
        <w:rPr>
          <w:b/>
          <w:sz w:val="28"/>
        </w:rPr>
      </w:pPr>
      <w:r w:rsidRPr="001E3A70">
        <w:rPr>
          <w:b/>
          <w:sz w:val="28"/>
        </w:rPr>
        <w:t>CAH Necessary Provider Issue</w:t>
      </w:r>
    </w:p>
    <w:p w:rsidR="00000000" w:rsidRPr="001E3A70" w:rsidRDefault="001A4F70" w:rsidP="001E3A70">
      <w:pPr>
        <w:spacing w:after="120"/>
        <w:rPr>
          <w:sz w:val="24"/>
        </w:rPr>
      </w:pPr>
      <w:r w:rsidRPr="001E3A70">
        <w:rPr>
          <w:sz w:val="24"/>
        </w:rPr>
        <w:t xml:space="preserve">Some CMS Regional Offices sent letters to certain CAHs requesting documentation of their compliance with </w:t>
      </w:r>
      <w:r w:rsidR="001E3A70">
        <w:rPr>
          <w:sz w:val="24"/>
        </w:rPr>
        <w:t xml:space="preserve">CAH </w:t>
      </w:r>
      <w:r w:rsidRPr="001E3A70">
        <w:rPr>
          <w:sz w:val="24"/>
        </w:rPr>
        <w:t xml:space="preserve">location requirements. This was a follow-up to </w:t>
      </w:r>
      <w:r w:rsidRPr="001E3A70">
        <w:rPr>
          <w:sz w:val="24"/>
        </w:rPr>
        <w:t xml:space="preserve">the 2013 OIG </w:t>
      </w:r>
      <w:hyperlink r:id="rId6" w:history="1">
        <w:r w:rsidRPr="001E3A70">
          <w:rPr>
            <w:rStyle w:val="Hyperlink"/>
            <w:sz w:val="24"/>
          </w:rPr>
          <w:t xml:space="preserve">report </w:t>
        </w:r>
      </w:hyperlink>
      <w:hyperlink r:id="rId7" w:history="1">
        <w:r w:rsidRPr="001E3A70">
          <w:rPr>
            <w:rStyle w:val="Hyperlink"/>
            <w:sz w:val="24"/>
          </w:rPr>
          <w:t xml:space="preserve">on CAH compliance with location </w:t>
        </w:r>
      </w:hyperlink>
      <w:hyperlink r:id="rId8" w:history="1">
        <w:r w:rsidRPr="001E3A70">
          <w:rPr>
            <w:rStyle w:val="Hyperlink"/>
            <w:sz w:val="24"/>
          </w:rPr>
          <w:t>requirements</w:t>
        </w:r>
      </w:hyperlink>
      <w:r w:rsidRPr="001E3A70">
        <w:rPr>
          <w:sz w:val="24"/>
        </w:rPr>
        <w:t>, which identified appro</w:t>
      </w:r>
      <w:r w:rsidR="00330928">
        <w:rPr>
          <w:sz w:val="24"/>
        </w:rPr>
        <w:t>ximately</w:t>
      </w:r>
      <w:r w:rsidRPr="001E3A70">
        <w:rPr>
          <w:sz w:val="24"/>
        </w:rPr>
        <w:t xml:space="preserve"> 100 CAHs that did not meet the distance requirement </w:t>
      </w:r>
      <w:r w:rsidRPr="001E3A70">
        <w:rPr>
          <w:i/>
          <w:iCs/>
          <w:sz w:val="24"/>
          <w:u w:val="single"/>
        </w:rPr>
        <w:t>and</w:t>
      </w:r>
      <w:r w:rsidRPr="001E3A70">
        <w:rPr>
          <w:sz w:val="24"/>
        </w:rPr>
        <w:t xml:space="preserve"> were not identified as Necessary Providers.</w:t>
      </w:r>
    </w:p>
    <w:p w:rsidR="00000000" w:rsidRPr="001E3A70" w:rsidRDefault="00330928" w:rsidP="001E3A70">
      <w:pPr>
        <w:numPr>
          <w:ilvl w:val="0"/>
          <w:numId w:val="1"/>
        </w:numPr>
        <w:tabs>
          <w:tab w:val="clear" w:pos="720"/>
        </w:tabs>
        <w:spacing w:after="120"/>
        <w:ind w:left="547"/>
        <w:rPr>
          <w:sz w:val="24"/>
        </w:rPr>
      </w:pPr>
      <w:r>
        <w:rPr>
          <w:sz w:val="24"/>
        </w:rPr>
        <w:t>Recipients of t</w:t>
      </w:r>
      <w:r w:rsidR="001A4F70" w:rsidRPr="001E3A70">
        <w:rPr>
          <w:sz w:val="24"/>
        </w:rPr>
        <w:t xml:space="preserve">he CMS letters </w:t>
      </w:r>
      <w:r>
        <w:rPr>
          <w:sz w:val="24"/>
        </w:rPr>
        <w:t xml:space="preserve">should </w:t>
      </w:r>
      <w:r w:rsidR="001A4F70" w:rsidRPr="001E3A70">
        <w:rPr>
          <w:sz w:val="24"/>
        </w:rPr>
        <w:t xml:space="preserve">have </w:t>
      </w:r>
      <w:r>
        <w:rPr>
          <w:sz w:val="24"/>
        </w:rPr>
        <w:t xml:space="preserve">received notice that the letters have </w:t>
      </w:r>
      <w:r w:rsidR="001A4F70" w:rsidRPr="001E3A70">
        <w:rPr>
          <w:sz w:val="24"/>
        </w:rPr>
        <w:t xml:space="preserve">been rescinded and do not require </w:t>
      </w:r>
      <w:r w:rsidR="001E3A70">
        <w:rPr>
          <w:sz w:val="24"/>
        </w:rPr>
        <w:t xml:space="preserve">a </w:t>
      </w:r>
      <w:r w:rsidR="001A4F70" w:rsidRPr="001E3A70">
        <w:rPr>
          <w:sz w:val="24"/>
        </w:rPr>
        <w:t>response.</w:t>
      </w:r>
    </w:p>
    <w:p w:rsidR="00000000" w:rsidRPr="001E3A70" w:rsidRDefault="001A4F70" w:rsidP="001E3A70">
      <w:pPr>
        <w:numPr>
          <w:ilvl w:val="0"/>
          <w:numId w:val="1"/>
        </w:numPr>
        <w:tabs>
          <w:tab w:val="clear" w:pos="720"/>
        </w:tabs>
        <w:spacing w:after="120"/>
        <w:ind w:left="547"/>
        <w:rPr>
          <w:sz w:val="24"/>
        </w:rPr>
      </w:pPr>
      <w:r w:rsidRPr="001E3A70">
        <w:rPr>
          <w:sz w:val="24"/>
        </w:rPr>
        <w:t xml:space="preserve">However, </w:t>
      </w:r>
      <w:r w:rsidRPr="001E3A70">
        <w:rPr>
          <w:sz w:val="24"/>
        </w:rPr>
        <w:t xml:space="preserve">the </w:t>
      </w:r>
      <w:hyperlink r:id="rId9" w:history="1">
        <w:r w:rsidRPr="001E3A70">
          <w:rPr>
            <w:rStyle w:val="Hyperlink"/>
            <w:sz w:val="24"/>
          </w:rPr>
          <w:t xml:space="preserve">State Operations Manual Appendix W for </w:t>
        </w:r>
      </w:hyperlink>
      <w:hyperlink r:id="rId10" w:history="1">
        <w:r w:rsidRPr="001E3A70">
          <w:rPr>
            <w:rStyle w:val="Hyperlink"/>
            <w:sz w:val="24"/>
          </w:rPr>
          <w:t>CAHs</w:t>
        </w:r>
      </w:hyperlink>
      <w:r w:rsidRPr="001E3A70">
        <w:rPr>
          <w:sz w:val="24"/>
        </w:rPr>
        <w:t xml:space="preserve"> states that CMS Regional Offices (RO) and state Survey Agencies (SA) should have documentation of a CAH’s original Necessary Provider designation in their files. If they do not, they should ask the CAH to supply </w:t>
      </w:r>
      <w:r w:rsidR="00D10D7F">
        <w:rPr>
          <w:sz w:val="24"/>
        </w:rPr>
        <w:t>it</w:t>
      </w:r>
      <w:r w:rsidRPr="001E3A70">
        <w:rPr>
          <w:sz w:val="24"/>
        </w:rPr>
        <w:t xml:space="preserve">. </w:t>
      </w:r>
      <w:r w:rsidRPr="001E3A70">
        <w:rPr>
          <w:sz w:val="24"/>
        </w:rPr>
        <w:t xml:space="preserve">CAHs </w:t>
      </w:r>
      <w:r w:rsidR="00D10D7F">
        <w:rPr>
          <w:sz w:val="24"/>
        </w:rPr>
        <w:t xml:space="preserve">will need </w:t>
      </w:r>
      <w:r w:rsidRPr="001E3A70">
        <w:rPr>
          <w:sz w:val="24"/>
        </w:rPr>
        <w:t>to provide this information during their next recertification survey, or upon RO/SA request.</w:t>
      </w:r>
    </w:p>
    <w:p w:rsidR="00000000" w:rsidRPr="001E3A70" w:rsidRDefault="001A4F70" w:rsidP="001E3A70">
      <w:pPr>
        <w:numPr>
          <w:ilvl w:val="0"/>
          <w:numId w:val="1"/>
        </w:numPr>
        <w:tabs>
          <w:tab w:val="clear" w:pos="720"/>
        </w:tabs>
        <w:spacing w:after="120"/>
        <w:ind w:left="547"/>
        <w:rPr>
          <w:sz w:val="24"/>
        </w:rPr>
      </w:pPr>
      <w:r w:rsidRPr="001E3A70">
        <w:rPr>
          <w:sz w:val="24"/>
        </w:rPr>
        <w:t>CAHs that do not meet the distance requirements and are not Necessary Providers are su</w:t>
      </w:r>
      <w:r w:rsidRPr="001E3A70">
        <w:rPr>
          <w:sz w:val="24"/>
        </w:rPr>
        <w:t>bject to loss of CAH status, which would require conversion to PPS to continue participating in Medicare.</w:t>
      </w:r>
    </w:p>
    <w:p w:rsidR="00D65141" w:rsidRPr="00D65141" w:rsidRDefault="001A4F70" w:rsidP="00D10D7F">
      <w:pPr>
        <w:rPr>
          <w:sz w:val="28"/>
        </w:rPr>
      </w:pPr>
      <w:r w:rsidRPr="00D65141">
        <w:rPr>
          <w:sz w:val="24"/>
        </w:rPr>
        <w:t>All CAHs must also be located in a rural area (non-metro county) or must complete an</w:t>
      </w:r>
      <w:r w:rsidRPr="00D65141">
        <w:rPr>
          <w:sz w:val="24"/>
        </w:rPr>
        <w:t xml:space="preserve"> urban-to-rural reclassification to be treated as rural (</w:t>
      </w:r>
      <w:hyperlink r:id="rId11" w:history="1">
        <w:r w:rsidRPr="00D65141">
          <w:rPr>
            <w:rStyle w:val="Hyperlink"/>
            <w:sz w:val="24"/>
          </w:rPr>
          <w:t>42 CFR §412.103</w:t>
        </w:r>
      </w:hyperlink>
      <w:r w:rsidRPr="00D65141">
        <w:rPr>
          <w:sz w:val="24"/>
        </w:rPr>
        <w:t>). The rural requirement is separate from the distance requirement and Necessary Provider status does not provide a waiver to the rural requirement. FORHP project offic</w:t>
      </w:r>
      <w:r w:rsidRPr="00D65141">
        <w:rPr>
          <w:sz w:val="24"/>
        </w:rPr>
        <w:t>ers notified state offices in November about CAHs that may need to complete an urban-to-rural reclassification</w:t>
      </w:r>
      <w:r w:rsidRPr="00D65141">
        <w:rPr>
          <w:sz w:val="24"/>
        </w:rPr>
        <w:t>.</w:t>
      </w:r>
      <w:r w:rsidR="00D65141" w:rsidRPr="00D65141">
        <w:rPr>
          <w:sz w:val="24"/>
        </w:rPr>
        <w:t xml:space="preserve">  </w:t>
      </w:r>
      <w:r w:rsidR="00D65141">
        <w:rPr>
          <w:sz w:val="24"/>
        </w:rPr>
        <w:t xml:space="preserve">(Note:  </w:t>
      </w:r>
      <w:r w:rsidR="00D65141" w:rsidRPr="00D65141">
        <w:rPr>
          <w:sz w:val="24"/>
        </w:rPr>
        <w:t>“</w:t>
      </w:r>
      <w:r w:rsidR="00D65141" w:rsidRPr="00D65141">
        <w:rPr>
          <w:sz w:val="24"/>
        </w:rPr>
        <w:t xml:space="preserve">Lugar </w:t>
      </w:r>
      <w:r w:rsidR="00D65141" w:rsidRPr="00D65141">
        <w:rPr>
          <w:sz w:val="24"/>
        </w:rPr>
        <w:t xml:space="preserve">county” designation does </w:t>
      </w:r>
      <w:r w:rsidR="00D65141" w:rsidRPr="00D65141">
        <w:rPr>
          <w:sz w:val="24"/>
        </w:rPr>
        <w:t xml:space="preserve">not </w:t>
      </w:r>
      <w:r w:rsidR="00D65141" w:rsidRPr="00D65141">
        <w:rPr>
          <w:sz w:val="24"/>
        </w:rPr>
        <w:t xml:space="preserve">affect </w:t>
      </w:r>
      <w:r w:rsidR="00D65141" w:rsidRPr="00D65141">
        <w:rPr>
          <w:sz w:val="24"/>
        </w:rPr>
        <w:t>CAH rural status</w:t>
      </w:r>
      <w:r w:rsidR="00D65141" w:rsidRPr="00D65141">
        <w:rPr>
          <w:sz w:val="24"/>
        </w:rPr>
        <w:t>.</w:t>
      </w:r>
      <w:r w:rsidR="00D65141">
        <w:rPr>
          <w:sz w:val="24"/>
        </w:rPr>
        <w:t>)</w:t>
      </w:r>
    </w:p>
    <w:p w:rsidR="00D65141" w:rsidRDefault="00D65141"/>
    <w:p w:rsidR="001E3A70" w:rsidRDefault="001E3A70"/>
    <w:p w:rsidR="001E3A70" w:rsidRPr="001E3A70" w:rsidRDefault="001E3A70" w:rsidP="00D65141">
      <w:pPr>
        <w:spacing w:after="120"/>
        <w:rPr>
          <w:b/>
          <w:sz w:val="28"/>
        </w:rPr>
      </w:pPr>
      <w:r w:rsidRPr="001E3A70">
        <w:rPr>
          <w:b/>
          <w:sz w:val="28"/>
        </w:rPr>
        <w:t>CAH/RHC PQRS Participation</w:t>
      </w:r>
    </w:p>
    <w:p w:rsidR="001E3A70" w:rsidRDefault="001E3A70" w:rsidP="001E3A70">
      <w:pPr>
        <w:rPr>
          <w:sz w:val="24"/>
          <w:szCs w:val="24"/>
        </w:rPr>
      </w:pPr>
      <w:r w:rsidRPr="001E3A70">
        <w:rPr>
          <w:sz w:val="24"/>
          <w:szCs w:val="24"/>
        </w:rPr>
        <w:t xml:space="preserve">There has been some confusion around </w:t>
      </w:r>
      <w:hyperlink r:id="rId12" w:history="1">
        <w:r w:rsidR="00F12BC4" w:rsidRPr="006C3B0F">
          <w:rPr>
            <w:rStyle w:val="Hyperlink"/>
            <w:sz w:val="24"/>
            <w:szCs w:val="24"/>
          </w:rPr>
          <w:t>PQRS</w:t>
        </w:r>
      </w:hyperlink>
      <w:r w:rsidR="00F12BC4" w:rsidRPr="006C3B0F">
        <w:rPr>
          <w:sz w:val="24"/>
          <w:szCs w:val="24"/>
        </w:rPr>
        <w:t xml:space="preserve"> </w:t>
      </w:r>
      <w:r w:rsidRPr="001E3A70">
        <w:rPr>
          <w:sz w:val="24"/>
          <w:szCs w:val="24"/>
        </w:rPr>
        <w:t>payment penalties for CAHs and RHCs due to letters that CMS sent to eligible professionals who practice in these facilities.</w:t>
      </w:r>
    </w:p>
    <w:p w:rsidR="001E3A70" w:rsidRPr="001E3A70" w:rsidRDefault="001E3A70" w:rsidP="001E3A70">
      <w:pPr>
        <w:rPr>
          <w:sz w:val="24"/>
          <w:szCs w:val="24"/>
        </w:rPr>
      </w:pPr>
    </w:p>
    <w:p w:rsidR="001A6E03" w:rsidRDefault="001A4F70" w:rsidP="001A6E03">
      <w:pPr>
        <w:numPr>
          <w:ilvl w:val="0"/>
          <w:numId w:val="2"/>
        </w:numPr>
        <w:tabs>
          <w:tab w:val="clear" w:pos="720"/>
        </w:tabs>
        <w:spacing w:after="120"/>
        <w:ind w:left="547"/>
        <w:rPr>
          <w:sz w:val="24"/>
          <w:szCs w:val="24"/>
        </w:rPr>
      </w:pPr>
      <w:r w:rsidRPr="001E3A70">
        <w:rPr>
          <w:sz w:val="24"/>
          <w:szCs w:val="24"/>
        </w:rPr>
        <w:t xml:space="preserve">RHC Medicare claims </w:t>
      </w:r>
      <w:r w:rsidRPr="00D65141">
        <w:rPr>
          <w:b/>
          <w:sz w:val="24"/>
          <w:szCs w:val="24"/>
          <w:u w:val="single"/>
        </w:rPr>
        <w:t>are not</w:t>
      </w:r>
      <w:r w:rsidRPr="001E3A70">
        <w:rPr>
          <w:sz w:val="24"/>
          <w:szCs w:val="24"/>
        </w:rPr>
        <w:t xml:space="preserve"> subject to PQRS penalties</w:t>
      </w:r>
      <w:r w:rsidRPr="001E3A70">
        <w:rPr>
          <w:sz w:val="24"/>
          <w:szCs w:val="24"/>
        </w:rPr>
        <w:t xml:space="preserve">.  However, any Part B fee schedule </w:t>
      </w:r>
      <w:r w:rsidRPr="001E3A70">
        <w:rPr>
          <w:sz w:val="24"/>
          <w:szCs w:val="24"/>
        </w:rPr>
        <w:t xml:space="preserve">claims </w:t>
      </w:r>
      <w:r w:rsidR="00BD06A6">
        <w:rPr>
          <w:sz w:val="24"/>
          <w:szCs w:val="24"/>
        </w:rPr>
        <w:t xml:space="preserve">for </w:t>
      </w:r>
      <w:r w:rsidR="00BD06A6">
        <w:rPr>
          <w:sz w:val="24"/>
          <w:szCs w:val="24"/>
        </w:rPr>
        <w:t xml:space="preserve">professional service </w:t>
      </w:r>
      <w:r w:rsidRPr="001E3A70">
        <w:rPr>
          <w:sz w:val="24"/>
          <w:szCs w:val="24"/>
        </w:rPr>
        <w:t xml:space="preserve">submitted separately by RHC providers </w:t>
      </w:r>
      <w:r w:rsidRPr="006C3B0F">
        <w:rPr>
          <w:sz w:val="24"/>
          <w:szCs w:val="24"/>
          <w:u w:val="single"/>
        </w:rPr>
        <w:t>are</w:t>
      </w:r>
      <w:r w:rsidRPr="001E3A70">
        <w:rPr>
          <w:sz w:val="24"/>
          <w:szCs w:val="24"/>
        </w:rPr>
        <w:t xml:space="preserve"> subject to PQRS (e.g., services provided to hospital inpatients</w:t>
      </w:r>
      <w:r w:rsidRPr="001E3A70">
        <w:rPr>
          <w:sz w:val="24"/>
          <w:szCs w:val="24"/>
        </w:rPr>
        <w:t xml:space="preserve">).  The CMS letters reference the affected Tax ID # (TIN) and NPI, which should be </w:t>
      </w:r>
      <w:r w:rsidR="00A249EC">
        <w:rPr>
          <w:sz w:val="24"/>
          <w:szCs w:val="24"/>
        </w:rPr>
        <w:t xml:space="preserve">for </w:t>
      </w:r>
      <w:r w:rsidRPr="001E3A70">
        <w:rPr>
          <w:sz w:val="24"/>
          <w:szCs w:val="24"/>
        </w:rPr>
        <w:t xml:space="preserve">the Part B practice, </w:t>
      </w:r>
      <w:hyperlink r:id="rId13" w:history="1">
        <w:r w:rsidRPr="00A249EC">
          <w:rPr>
            <w:rStyle w:val="Hyperlink"/>
            <w:sz w:val="24"/>
            <w:szCs w:val="24"/>
          </w:rPr>
          <w:t>not the RHC</w:t>
        </w:r>
      </w:hyperlink>
      <w:r w:rsidRPr="001E3A70">
        <w:rPr>
          <w:sz w:val="24"/>
          <w:szCs w:val="24"/>
        </w:rPr>
        <w:t>.  CMS used the best availabl</w:t>
      </w:r>
      <w:r w:rsidRPr="001E3A70">
        <w:rPr>
          <w:sz w:val="24"/>
          <w:szCs w:val="24"/>
        </w:rPr>
        <w:t>e address in PECOS to send the letters, which sometimes was the RHC address.</w:t>
      </w:r>
    </w:p>
    <w:p w:rsidR="006C3B0F" w:rsidRDefault="001A4F70" w:rsidP="006C3B0F">
      <w:pPr>
        <w:numPr>
          <w:ilvl w:val="0"/>
          <w:numId w:val="2"/>
        </w:numPr>
        <w:tabs>
          <w:tab w:val="clear" w:pos="720"/>
        </w:tabs>
        <w:spacing w:after="120"/>
        <w:ind w:left="547"/>
        <w:rPr>
          <w:sz w:val="24"/>
          <w:szCs w:val="24"/>
        </w:rPr>
      </w:pPr>
      <w:r w:rsidRPr="00994210">
        <w:rPr>
          <w:sz w:val="24"/>
          <w:szCs w:val="24"/>
        </w:rPr>
        <w:t>Method II CAH</w:t>
      </w:r>
      <w:r w:rsidR="001A6E03" w:rsidRPr="00994210">
        <w:rPr>
          <w:sz w:val="24"/>
          <w:szCs w:val="24"/>
        </w:rPr>
        <w:t xml:space="preserve"> eligible professional</w:t>
      </w:r>
      <w:r w:rsidRPr="00994210">
        <w:rPr>
          <w:sz w:val="24"/>
          <w:szCs w:val="24"/>
        </w:rPr>
        <w:t>s</w:t>
      </w:r>
      <w:r w:rsidR="00994210" w:rsidRPr="00994210">
        <w:rPr>
          <w:sz w:val="24"/>
          <w:szCs w:val="24"/>
        </w:rPr>
        <w:t xml:space="preserve"> (EPs)</w:t>
      </w:r>
      <w:r w:rsidRPr="00994210">
        <w:rPr>
          <w:sz w:val="24"/>
          <w:szCs w:val="24"/>
        </w:rPr>
        <w:t xml:space="preserve"> </w:t>
      </w:r>
      <w:r w:rsidRPr="00994210">
        <w:rPr>
          <w:b/>
          <w:sz w:val="24"/>
          <w:szCs w:val="24"/>
          <w:u w:val="single"/>
        </w:rPr>
        <w:t>are not</w:t>
      </w:r>
      <w:r w:rsidRPr="00994210">
        <w:rPr>
          <w:sz w:val="24"/>
          <w:szCs w:val="24"/>
        </w:rPr>
        <w:t xml:space="preserve"> subject to </w:t>
      </w:r>
      <w:r w:rsidRPr="00994210">
        <w:rPr>
          <w:sz w:val="24"/>
          <w:szCs w:val="24"/>
          <w:u w:val="single"/>
        </w:rPr>
        <w:t>2015</w:t>
      </w:r>
      <w:r w:rsidRPr="00994210">
        <w:rPr>
          <w:sz w:val="24"/>
          <w:szCs w:val="24"/>
        </w:rPr>
        <w:t xml:space="preserve"> PQRS penalties based on </w:t>
      </w:r>
      <w:r w:rsidRPr="00994210">
        <w:rPr>
          <w:sz w:val="24"/>
          <w:szCs w:val="24"/>
          <w:u w:val="single"/>
        </w:rPr>
        <w:t>2013</w:t>
      </w:r>
      <w:r w:rsidRPr="00994210">
        <w:rPr>
          <w:sz w:val="24"/>
          <w:szCs w:val="24"/>
        </w:rPr>
        <w:t xml:space="preserve"> claims, because their claims couldn’t be </w:t>
      </w:r>
      <w:r w:rsidR="00BD06A6" w:rsidRPr="00994210">
        <w:rPr>
          <w:sz w:val="24"/>
          <w:szCs w:val="24"/>
        </w:rPr>
        <w:t xml:space="preserve">processed </w:t>
      </w:r>
      <w:r w:rsidRPr="00994210">
        <w:rPr>
          <w:sz w:val="24"/>
          <w:szCs w:val="24"/>
        </w:rPr>
        <w:t>for PQRS until 2014.  However, a small number of Method II CAH</w:t>
      </w:r>
      <w:r w:rsidR="00BD06A6" w:rsidRPr="00994210">
        <w:rPr>
          <w:sz w:val="24"/>
          <w:szCs w:val="24"/>
        </w:rPr>
        <w:t xml:space="preserve"> </w:t>
      </w:r>
      <w:r w:rsidR="00994210" w:rsidRPr="00994210">
        <w:rPr>
          <w:sz w:val="24"/>
          <w:szCs w:val="24"/>
        </w:rPr>
        <w:t>clinicians</w:t>
      </w:r>
      <w:r w:rsidR="00BD06A6" w:rsidRPr="00994210">
        <w:rPr>
          <w:sz w:val="24"/>
          <w:szCs w:val="24"/>
        </w:rPr>
        <w:t xml:space="preserve"> </w:t>
      </w:r>
      <w:r w:rsidRPr="00994210">
        <w:rPr>
          <w:sz w:val="24"/>
          <w:szCs w:val="24"/>
        </w:rPr>
        <w:t>received a letter in error.  CMS has identif</w:t>
      </w:r>
      <w:r w:rsidRPr="00994210">
        <w:rPr>
          <w:sz w:val="24"/>
          <w:szCs w:val="24"/>
        </w:rPr>
        <w:t xml:space="preserve">ied them and </w:t>
      </w:r>
      <w:r w:rsidR="00994210" w:rsidRPr="00994210">
        <w:rPr>
          <w:sz w:val="24"/>
          <w:szCs w:val="24"/>
        </w:rPr>
        <w:t xml:space="preserve">updated </w:t>
      </w:r>
      <w:r w:rsidRPr="00994210">
        <w:rPr>
          <w:sz w:val="24"/>
          <w:szCs w:val="24"/>
        </w:rPr>
        <w:t xml:space="preserve">the system.  The Quality Net Help Desk </w:t>
      </w:r>
      <w:r w:rsidR="001A6E03" w:rsidRPr="00994210">
        <w:rPr>
          <w:sz w:val="24"/>
          <w:szCs w:val="24"/>
        </w:rPr>
        <w:t>(</w:t>
      </w:r>
      <w:r w:rsidR="001A6E03" w:rsidRPr="00994210">
        <w:rPr>
          <w:sz w:val="24"/>
        </w:rPr>
        <w:t xml:space="preserve">866-288-8912 or </w:t>
      </w:r>
      <w:hyperlink r:id="rId14" w:history="1">
        <w:r w:rsidR="00994210" w:rsidRPr="006E47C5">
          <w:rPr>
            <w:rStyle w:val="Hyperlink"/>
            <w:sz w:val="24"/>
          </w:rPr>
          <w:t>Qnetsupport@hcqis.org</w:t>
        </w:r>
      </w:hyperlink>
      <w:r w:rsidR="001A6E03" w:rsidRPr="00994210">
        <w:rPr>
          <w:sz w:val="24"/>
        </w:rPr>
        <w:t>)</w:t>
      </w:r>
      <w:r w:rsidR="001A6E03" w:rsidRPr="001A6E03">
        <w:t xml:space="preserve"> </w:t>
      </w:r>
      <w:r w:rsidRPr="00994210">
        <w:rPr>
          <w:sz w:val="24"/>
          <w:szCs w:val="24"/>
        </w:rPr>
        <w:t xml:space="preserve">has a corrected list of EPs subject to the 2015 penalty.  </w:t>
      </w:r>
      <w:r w:rsidR="00994210">
        <w:rPr>
          <w:sz w:val="24"/>
          <w:szCs w:val="24"/>
        </w:rPr>
        <w:t>T</w:t>
      </w:r>
      <w:r w:rsidRPr="00994210">
        <w:rPr>
          <w:sz w:val="24"/>
          <w:szCs w:val="24"/>
        </w:rPr>
        <w:t>he TIN</w:t>
      </w:r>
      <w:r w:rsidR="00994210" w:rsidRPr="00994210">
        <w:rPr>
          <w:sz w:val="24"/>
          <w:szCs w:val="24"/>
        </w:rPr>
        <w:t xml:space="preserve"> and </w:t>
      </w:r>
      <w:r w:rsidRPr="00994210">
        <w:rPr>
          <w:sz w:val="24"/>
          <w:szCs w:val="24"/>
        </w:rPr>
        <w:t>NPI listed in the letter</w:t>
      </w:r>
      <w:r w:rsidR="00994210">
        <w:rPr>
          <w:sz w:val="24"/>
          <w:szCs w:val="24"/>
        </w:rPr>
        <w:t xml:space="preserve"> should </w:t>
      </w:r>
      <w:r w:rsidRPr="00994210">
        <w:rPr>
          <w:sz w:val="24"/>
          <w:szCs w:val="24"/>
        </w:rPr>
        <w:t>refer</w:t>
      </w:r>
      <w:r w:rsidRPr="00994210">
        <w:rPr>
          <w:sz w:val="24"/>
          <w:szCs w:val="24"/>
        </w:rPr>
        <w:t xml:space="preserve"> to </w:t>
      </w:r>
      <w:r w:rsidR="00994210">
        <w:rPr>
          <w:sz w:val="24"/>
          <w:szCs w:val="24"/>
        </w:rPr>
        <w:t xml:space="preserve">a non-CAH Part B practice </w:t>
      </w:r>
      <w:r w:rsidRPr="00994210">
        <w:rPr>
          <w:sz w:val="24"/>
          <w:szCs w:val="24"/>
        </w:rPr>
        <w:t>that will be penalized</w:t>
      </w:r>
      <w:r w:rsidR="00994210">
        <w:rPr>
          <w:sz w:val="24"/>
          <w:szCs w:val="24"/>
        </w:rPr>
        <w:t xml:space="preserve"> in 2015</w:t>
      </w:r>
      <w:r w:rsidRPr="00994210">
        <w:rPr>
          <w:sz w:val="24"/>
          <w:szCs w:val="24"/>
        </w:rPr>
        <w:t>.</w:t>
      </w:r>
      <w:r w:rsidR="00994210" w:rsidRPr="00994210">
        <w:rPr>
          <w:sz w:val="24"/>
          <w:szCs w:val="24"/>
        </w:rPr>
        <w:t xml:space="preserve">  </w:t>
      </w:r>
    </w:p>
    <w:p w:rsidR="006C3B0F" w:rsidRPr="006C3B0F" w:rsidRDefault="006C3B0F" w:rsidP="006C3B0F">
      <w:pPr>
        <w:numPr>
          <w:ilvl w:val="0"/>
          <w:numId w:val="2"/>
        </w:numPr>
        <w:tabs>
          <w:tab w:val="clear" w:pos="720"/>
        </w:tabs>
        <w:ind w:left="547"/>
        <w:rPr>
          <w:sz w:val="24"/>
          <w:szCs w:val="24"/>
        </w:rPr>
      </w:pPr>
      <w:r w:rsidRPr="006C3B0F">
        <w:rPr>
          <w:sz w:val="24"/>
          <w:szCs w:val="24"/>
        </w:rPr>
        <w:t xml:space="preserve">Method II CAH eligible professionals </w:t>
      </w:r>
      <w:r w:rsidRPr="006C3B0F">
        <w:rPr>
          <w:b/>
          <w:sz w:val="24"/>
          <w:szCs w:val="24"/>
          <w:u w:val="single"/>
        </w:rPr>
        <w:t>can</w:t>
      </w:r>
      <w:r w:rsidRPr="006C3B0F">
        <w:rPr>
          <w:sz w:val="24"/>
          <w:szCs w:val="24"/>
        </w:rPr>
        <w:t xml:space="preserve"> participate in PQRS beginning in </w:t>
      </w:r>
      <w:r w:rsidRPr="006C3B0F">
        <w:rPr>
          <w:sz w:val="24"/>
          <w:szCs w:val="24"/>
          <w:u w:val="single"/>
        </w:rPr>
        <w:t>2014</w:t>
      </w:r>
      <w:r w:rsidRPr="006C3B0F">
        <w:rPr>
          <w:sz w:val="24"/>
          <w:szCs w:val="24"/>
        </w:rPr>
        <w:t xml:space="preserve">, according to a recently issued </w:t>
      </w:r>
      <w:hyperlink r:id="rId15" w:history="1">
        <w:r w:rsidRPr="006C3B0F">
          <w:rPr>
            <w:rStyle w:val="Hyperlink"/>
            <w:sz w:val="24"/>
            <w:szCs w:val="24"/>
          </w:rPr>
          <w:t>FAQ</w:t>
        </w:r>
      </w:hyperlink>
      <w:r w:rsidRPr="006C3B0F">
        <w:rPr>
          <w:sz w:val="24"/>
          <w:szCs w:val="24"/>
        </w:rPr>
        <w:t>.</w:t>
      </w:r>
    </w:p>
    <w:p w:rsidR="006C3B0F" w:rsidRDefault="006C3B0F" w:rsidP="006C3B0F">
      <w:pPr>
        <w:rPr>
          <w:sz w:val="24"/>
          <w:szCs w:val="24"/>
        </w:rPr>
      </w:pPr>
    </w:p>
    <w:p w:rsidR="00994210" w:rsidRPr="00994210" w:rsidRDefault="00994210" w:rsidP="006C3B0F">
      <w:pPr>
        <w:rPr>
          <w:sz w:val="24"/>
          <w:szCs w:val="24"/>
        </w:rPr>
      </w:pPr>
      <w:r w:rsidRPr="00994210">
        <w:rPr>
          <w:sz w:val="24"/>
          <w:szCs w:val="24"/>
        </w:rPr>
        <w:t xml:space="preserve">If </w:t>
      </w:r>
      <w:r w:rsidRPr="00994210">
        <w:rPr>
          <w:sz w:val="24"/>
          <w:szCs w:val="24"/>
        </w:rPr>
        <w:t xml:space="preserve">an EP </w:t>
      </w:r>
      <w:r w:rsidRPr="00994210">
        <w:rPr>
          <w:sz w:val="24"/>
          <w:szCs w:val="24"/>
        </w:rPr>
        <w:t xml:space="preserve">remains concerned about whether the PQRS penalty is being properly applied to them, they can request an informal review </w:t>
      </w:r>
      <w:r w:rsidRPr="00D10D7F">
        <w:rPr>
          <w:sz w:val="24"/>
          <w:szCs w:val="24"/>
        </w:rPr>
        <w:t xml:space="preserve">by </w:t>
      </w:r>
      <w:r w:rsidRPr="00994210">
        <w:rPr>
          <w:sz w:val="24"/>
          <w:szCs w:val="24"/>
          <w:u w:val="single"/>
        </w:rPr>
        <w:t>February 28</w:t>
      </w:r>
      <w:r w:rsidRPr="00994210">
        <w:rPr>
          <w:sz w:val="24"/>
          <w:szCs w:val="24"/>
        </w:rPr>
        <w:t>, as indicated in the letter.</w:t>
      </w:r>
    </w:p>
    <w:p w:rsidR="00000000" w:rsidRPr="001E3A70" w:rsidRDefault="001A4F70" w:rsidP="006C3B0F">
      <w:pPr>
        <w:spacing w:after="120"/>
        <w:rPr>
          <w:sz w:val="24"/>
          <w:szCs w:val="24"/>
        </w:rPr>
      </w:pPr>
    </w:p>
    <w:p w:rsidR="006C3B0F" w:rsidRPr="00F12BC4" w:rsidRDefault="001A4F70" w:rsidP="00F12BC4">
      <w:pPr>
        <w:rPr>
          <w:sz w:val="24"/>
          <w:szCs w:val="24"/>
        </w:rPr>
      </w:pPr>
      <w:r w:rsidRPr="001E3A70">
        <w:rPr>
          <w:sz w:val="24"/>
          <w:szCs w:val="24"/>
        </w:rPr>
        <w:lastRenderedPageBreak/>
        <w:t xml:space="preserve">Also, the deadline to avoid a </w:t>
      </w:r>
      <w:r w:rsidRPr="001E3A70">
        <w:rPr>
          <w:sz w:val="24"/>
          <w:szCs w:val="24"/>
          <w:u w:val="single"/>
        </w:rPr>
        <w:t>2016</w:t>
      </w:r>
      <w:r w:rsidRPr="001E3A70">
        <w:rPr>
          <w:sz w:val="24"/>
          <w:szCs w:val="24"/>
        </w:rPr>
        <w:t xml:space="preserve"> penalty for applicable </w:t>
      </w:r>
      <w:r w:rsidRPr="001E3A70">
        <w:rPr>
          <w:sz w:val="24"/>
          <w:szCs w:val="24"/>
          <w:u w:val="single"/>
        </w:rPr>
        <w:t>2014</w:t>
      </w:r>
      <w:r w:rsidRPr="001E3A70">
        <w:rPr>
          <w:sz w:val="24"/>
          <w:szCs w:val="24"/>
        </w:rPr>
        <w:t xml:space="preserve"> Medicare claims for most pro</w:t>
      </w:r>
      <w:r w:rsidRPr="001E3A70">
        <w:rPr>
          <w:sz w:val="24"/>
          <w:szCs w:val="24"/>
        </w:rPr>
        <w:t xml:space="preserve">viders is </w:t>
      </w:r>
      <w:r w:rsidRPr="00F12BC4">
        <w:rPr>
          <w:sz w:val="24"/>
          <w:szCs w:val="24"/>
          <w:u w:val="single"/>
        </w:rPr>
        <w:t>February 28</w:t>
      </w:r>
      <w:r w:rsidRPr="001E3A70">
        <w:rPr>
          <w:sz w:val="24"/>
          <w:szCs w:val="24"/>
        </w:rPr>
        <w:t xml:space="preserve">.  </w:t>
      </w:r>
      <w:r w:rsidR="00F12BC4">
        <w:rPr>
          <w:sz w:val="24"/>
          <w:szCs w:val="24"/>
        </w:rPr>
        <w:t xml:space="preserve">For additional important dates, check out the </w:t>
      </w:r>
      <w:hyperlink r:id="rId16" w:history="1">
        <w:r w:rsidR="001E3A70" w:rsidRPr="00F12BC4">
          <w:rPr>
            <w:rStyle w:val="Hyperlink"/>
            <w:sz w:val="24"/>
            <w:szCs w:val="24"/>
          </w:rPr>
          <w:t xml:space="preserve">PQRS </w:t>
        </w:r>
        <w:r w:rsidR="00F12BC4" w:rsidRPr="00F12BC4">
          <w:rPr>
            <w:rStyle w:val="Hyperlink"/>
            <w:sz w:val="24"/>
            <w:szCs w:val="24"/>
          </w:rPr>
          <w:t>Timeline</w:t>
        </w:r>
      </w:hyperlink>
      <w:r w:rsidR="00F12BC4">
        <w:rPr>
          <w:sz w:val="24"/>
          <w:szCs w:val="24"/>
        </w:rPr>
        <w:t>.</w:t>
      </w:r>
    </w:p>
    <w:p w:rsidR="001E3A70" w:rsidRPr="001E3A70" w:rsidRDefault="001E3A70">
      <w:pPr>
        <w:rPr>
          <w:sz w:val="24"/>
          <w:szCs w:val="24"/>
        </w:rPr>
      </w:pPr>
    </w:p>
    <w:p w:rsidR="001E3A70" w:rsidRDefault="001E3A70">
      <w:pPr>
        <w:rPr>
          <w:sz w:val="24"/>
          <w:szCs w:val="24"/>
        </w:rPr>
      </w:pPr>
    </w:p>
    <w:p w:rsidR="001E3A70" w:rsidRDefault="001E3A70">
      <w:pPr>
        <w:rPr>
          <w:sz w:val="24"/>
          <w:szCs w:val="24"/>
        </w:rPr>
      </w:pPr>
    </w:p>
    <w:p w:rsidR="001A6E03" w:rsidRPr="00F12BC4" w:rsidRDefault="00D868F9" w:rsidP="00842113">
      <w:pPr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CMS Issues </w:t>
      </w:r>
      <w:r w:rsidR="00842113">
        <w:rPr>
          <w:b/>
          <w:sz w:val="28"/>
          <w:szCs w:val="24"/>
        </w:rPr>
        <w:t xml:space="preserve">Final 2016 </w:t>
      </w:r>
      <w:r w:rsidR="00F12BC4" w:rsidRPr="00F12BC4">
        <w:rPr>
          <w:b/>
          <w:sz w:val="28"/>
          <w:szCs w:val="24"/>
        </w:rPr>
        <w:t>Essential Community Providers</w:t>
      </w:r>
      <w:r w:rsidR="00842113">
        <w:rPr>
          <w:b/>
          <w:sz w:val="28"/>
          <w:szCs w:val="24"/>
        </w:rPr>
        <w:t xml:space="preserve"> List</w:t>
      </w:r>
      <w:r>
        <w:rPr>
          <w:b/>
          <w:sz w:val="28"/>
          <w:szCs w:val="24"/>
        </w:rPr>
        <w:t>,</w:t>
      </w:r>
      <w:r w:rsidR="00842113">
        <w:rPr>
          <w:b/>
          <w:sz w:val="28"/>
          <w:szCs w:val="24"/>
        </w:rPr>
        <w:t xml:space="preserve"> Includes RHCs</w:t>
      </w:r>
    </w:p>
    <w:p w:rsidR="001E3A70" w:rsidRDefault="00F12BC4" w:rsidP="00F12BC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On February 6, CMS </w:t>
      </w:r>
      <w:r w:rsidR="00842113">
        <w:rPr>
          <w:rFonts w:asciiTheme="minorHAnsi" w:hAnsiTheme="minorHAnsi" w:cs="Arial"/>
          <w:color w:val="000000"/>
        </w:rPr>
        <w:t>posted</w:t>
      </w:r>
      <w:r w:rsidR="001E3A70" w:rsidRPr="001E3A70">
        <w:rPr>
          <w:rFonts w:asciiTheme="minorHAnsi" w:hAnsiTheme="minorHAnsi" w:cs="Arial"/>
          <w:color w:val="000000"/>
        </w:rPr>
        <w:t xml:space="preserve"> a </w:t>
      </w:r>
      <w:hyperlink r:id="rId17" w:history="1">
        <w:r w:rsidR="001E3A70" w:rsidRPr="00842113">
          <w:rPr>
            <w:rStyle w:val="Hyperlink"/>
            <w:rFonts w:asciiTheme="minorHAnsi" w:hAnsiTheme="minorHAnsi" w:cs="Arial"/>
          </w:rPr>
          <w:t>final list of Essential Community Providers</w:t>
        </w:r>
      </w:hyperlink>
      <w:r w:rsidR="00842113">
        <w:rPr>
          <w:rFonts w:asciiTheme="minorHAnsi" w:hAnsiTheme="minorHAnsi" w:cs="Arial"/>
          <w:color w:val="000000"/>
        </w:rPr>
        <w:t xml:space="preserve"> (ECPs)</w:t>
      </w:r>
      <w:r w:rsidR="001E3A70" w:rsidRPr="001E3A70">
        <w:rPr>
          <w:rFonts w:asciiTheme="minorHAnsi" w:hAnsiTheme="minorHAnsi" w:cs="Arial"/>
          <w:color w:val="000000"/>
        </w:rPr>
        <w:t xml:space="preserve"> for </w:t>
      </w:r>
      <w:r w:rsidR="00842113">
        <w:rPr>
          <w:rFonts w:asciiTheme="minorHAnsi" w:hAnsiTheme="minorHAnsi" w:cs="Arial"/>
          <w:color w:val="000000"/>
        </w:rPr>
        <w:t xml:space="preserve">2016 Marketplace </w:t>
      </w:r>
      <w:r w:rsidR="00D868F9">
        <w:rPr>
          <w:rFonts w:asciiTheme="minorHAnsi" w:hAnsiTheme="minorHAnsi" w:cs="Arial"/>
          <w:color w:val="000000"/>
        </w:rPr>
        <w:t>Qualified Health P</w:t>
      </w:r>
      <w:r w:rsidR="00D868F9" w:rsidRPr="001E3A70">
        <w:rPr>
          <w:rFonts w:asciiTheme="minorHAnsi" w:hAnsiTheme="minorHAnsi" w:cs="Arial"/>
          <w:color w:val="000000"/>
        </w:rPr>
        <w:t>lan</w:t>
      </w:r>
      <w:r w:rsidR="00D868F9">
        <w:rPr>
          <w:rFonts w:asciiTheme="minorHAnsi" w:hAnsiTheme="minorHAnsi" w:cs="Arial"/>
          <w:color w:val="000000"/>
        </w:rPr>
        <w:t>s</w:t>
      </w:r>
      <w:r w:rsidR="00D868F9" w:rsidRPr="001E3A70">
        <w:rPr>
          <w:rFonts w:asciiTheme="minorHAnsi" w:hAnsiTheme="minorHAnsi" w:cs="Arial"/>
          <w:color w:val="000000"/>
        </w:rPr>
        <w:t xml:space="preserve"> </w:t>
      </w:r>
      <w:r w:rsidR="00D868F9">
        <w:rPr>
          <w:rFonts w:asciiTheme="minorHAnsi" w:hAnsiTheme="minorHAnsi" w:cs="Arial"/>
          <w:color w:val="000000"/>
        </w:rPr>
        <w:t>(QHP</w:t>
      </w:r>
      <w:r w:rsidR="00D868F9">
        <w:rPr>
          <w:rFonts w:asciiTheme="minorHAnsi" w:hAnsiTheme="minorHAnsi" w:cs="Arial"/>
          <w:color w:val="000000"/>
        </w:rPr>
        <w:t>s</w:t>
      </w:r>
      <w:r w:rsidR="00D868F9">
        <w:rPr>
          <w:rFonts w:asciiTheme="minorHAnsi" w:hAnsiTheme="minorHAnsi" w:cs="Arial"/>
          <w:color w:val="000000"/>
        </w:rPr>
        <w:t>)</w:t>
      </w:r>
      <w:r w:rsidR="00D868F9">
        <w:rPr>
          <w:rFonts w:asciiTheme="minorHAnsi" w:hAnsiTheme="minorHAnsi" w:cs="Arial"/>
          <w:color w:val="000000"/>
        </w:rPr>
        <w:t xml:space="preserve">. </w:t>
      </w:r>
      <w:r w:rsidR="00D868F9">
        <w:rPr>
          <w:rFonts w:asciiTheme="minorHAnsi" w:hAnsiTheme="minorHAnsi" w:cs="Arial"/>
          <w:color w:val="000000"/>
        </w:rPr>
        <w:t xml:space="preserve"> </w:t>
      </w:r>
      <w:r w:rsidR="00D868F9">
        <w:rPr>
          <w:rFonts w:asciiTheme="minorHAnsi" w:hAnsiTheme="minorHAnsi" w:cs="Arial"/>
          <w:color w:val="000000"/>
        </w:rPr>
        <w:t>I</w:t>
      </w:r>
      <w:r w:rsidR="001E3A70" w:rsidRPr="001E3A70">
        <w:rPr>
          <w:rFonts w:asciiTheme="minorHAnsi" w:hAnsiTheme="minorHAnsi" w:cs="Arial"/>
          <w:color w:val="000000"/>
        </w:rPr>
        <w:t xml:space="preserve">nsurers use the </w:t>
      </w:r>
      <w:r w:rsidR="00D868F9">
        <w:rPr>
          <w:rFonts w:asciiTheme="minorHAnsi" w:hAnsiTheme="minorHAnsi" w:cs="Arial"/>
          <w:color w:val="000000"/>
        </w:rPr>
        <w:t xml:space="preserve">ECP </w:t>
      </w:r>
      <w:r w:rsidR="001E3A70" w:rsidRPr="001E3A70">
        <w:rPr>
          <w:rFonts w:asciiTheme="minorHAnsi" w:hAnsiTheme="minorHAnsi" w:cs="Arial"/>
          <w:color w:val="000000"/>
        </w:rPr>
        <w:t xml:space="preserve">list to identify providers </w:t>
      </w:r>
      <w:r w:rsidR="00D868F9">
        <w:rPr>
          <w:rFonts w:asciiTheme="minorHAnsi" w:hAnsiTheme="minorHAnsi" w:cs="Arial"/>
          <w:color w:val="000000"/>
        </w:rPr>
        <w:t xml:space="preserve">for their </w:t>
      </w:r>
      <w:r w:rsidR="00FC786D">
        <w:rPr>
          <w:rFonts w:asciiTheme="minorHAnsi" w:hAnsiTheme="minorHAnsi" w:cs="Arial"/>
          <w:color w:val="000000"/>
        </w:rPr>
        <w:t xml:space="preserve">marketplace/exchange </w:t>
      </w:r>
      <w:r w:rsidR="00D868F9">
        <w:rPr>
          <w:rFonts w:asciiTheme="minorHAnsi" w:hAnsiTheme="minorHAnsi" w:cs="Arial"/>
          <w:color w:val="000000"/>
        </w:rPr>
        <w:t>plan networks</w:t>
      </w:r>
      <w:r w:rsidR="001A4F70">
        <w:rPr>
          <w:rFonts w:asciiTheme="minorHAnsi" w:hAnsiTheme="minorHAnsi" w:cs="Arial"/>
          <w:color w:val="000000"/>
        </w:rPr>
        <w:t>.</w:t>
      </w:r>
    </w:p>
    <w:p w:rsidR="00D868F9" w:rsidRPr="00FC786D" w:rsidRDefault="00D868F9" w:rsidP="00F12BC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FC786D" w:rsidRPr="00FC786D" w:rsidRDefault="001A4F70" w:rsidP="00FC786D">
      <w:pPr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>In</w:t>
      </w:r>
      <w:r w:rsidR="00FC786D" w:rsidRPr="00FC786D">
        <w:rPr>
          <w:sz w:val="24"/>
          <w:szCs w:val="24"/>
        </w:rPr>
        <w:t xml:space="preserve"> 2016 and beyond, CMS will include an </w:t>
      </w:r>
      <w:r w:rsidR="00FC786D" w:rsidRPr="00FC786D">
        <w:rPr>
          <w:sz w:val="24"/>
          <w:szCs w:val="24"/>
        </w:rPr>
        <w:t xml:space="preserve">RHC </w:t>
      </w:r>
      <w:r w:rsidR="00FC786D" w:rsidRPr="00FC786D">
        <w:rPr>
          <w:sz w:val="24"/>
          <w:szCs w:val="24"/>
        </w:rPr>
        <w:t xml:space="preserve">on the </w:t>
      </w:r>
      <w:r w:rsidR="00FC786D" w:rsidRPr="00FC786D">
        <w:rPr>
          <w:sz w:val="24"/>
          <w:szCs w:val="24"/>
        </w:rPr>
        <w:t xml:space="preserve">ECP list if it meets the </w:t>
      </w:r>
      <w:r w:rsidR="00FC786D" w:rsidRPr="00FC786D">
        <w:rPr>
          <w:color w:val="000000"/>
          <w:sz w:val="24"/>
          <w:szCs w:val="24"/>
        </w:rPr>
        <w:t>following requirements:</w:t>
      </w:r>
    </w:p>
    <w:p w:rsidR="00FC786D" w:rsidRDefault="00FC786D" w:rsidP="00FC786D">
      <w:pPr>
        <w:pStyle w:val="ListParagraph"/>
        <w:spacing w:after="120"/>
        <w:ind w:left="576" w:hanging="3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FC786D">
        <w:rPr>
          <w:color w:val="000000"/>
          <w:sz w:val="24"/>
          <w:szCs w:val="24"/>
        </w:rPr>
        <w:t xml:space="preserve">Based on attestation, it accepts patients regardless of ability to pay and offers a sliding fee schedule, </w:t>
      </w:r>
      <w:r w:rsidRPr="00FC786D">
        <w:rPr>
          <w:color w:val="000000"/>
          <w:sz w:val="24"/>
          <w:szCs w:val="24"/>
          <w:u w:val="single"/>
        </w:rPr>
        <w:t>or</w:t>
      </w:r>
      <w:r w:rsidRPr="00FC786D">
        <w:rPr>
          <w:color w:val="000000"/>
          <w:sz w:val="24"/>
          <w:szCs w:val="24"/>
        </w:rPr>
        <w:t xml:space="preserve"> is located in a primary care Health Professional Shortage Area (geographic, population, or automatic); </w:t>
      </w:r>
      <w:r w:rsidRPr="00FC786D">
        <w:rPr>
          <w:color w:val="000000"/>
          <w:sz w:val="24"/>
          <w:szCs w:val="24"/>
          <w:u w:val="single"/>
        </w:rPr>
        <w:t>and</w:t>
      </w:r>
    </w:p>
    <w:p w:rsidR="00FC786D" w:rsidRPr="00FC786D" w:rsidRDefault="00FC786D" w:rsidP="00FC786D">
      <w:pPr>
        <w:pStyle w:val="ListParagraph"/>
        <w:spacing w:after="120"/>
        <w:ind w:left="576" w:hanging="360"/>
        <w:rPr>
          <w:color w:val="000000"/>
          <w:sz w:val="24"/>
          <w:szCs w:val="24"/>
        </w:rPr>
      </w:pPr>
      <w:r w:rsidRPr="00FC786D">
        <w:rPr>
          <w:color w:val="000000"/>
          <w:sz w:val="24"/>
          <w:szCs w:val="24"/>
        </w:rPr>
        <w:t>2.</w:t>
      </w:r>
      <w:r w:rsidRPr="00FC786D">
        <w:rPr>
          <w:color w:val="000000"/>
          <w:sz w:val="24"/>
          <w:szCs w:val="24"/>
        </w:rPr>
        <w:tab/>
      </w:r>
      <w:r w:rsidRPr="00FC786D">
        <w:rPr>
          <w:color w:val="000000"/>
          <w:sz w:val="24"/>
          <w:szCs w:val="24"/>
        </w:rPr>
        <w:t>Accepts patients regardless of coverage source (i.e., Medicare, Medicaid, CHIP, Marketplace plan, etc.).</w:t>
      </w:r>
    </w:p>
    <w:p w:rsidR="00330928" w:rsidRDefault="00D868F9" w:rsidP="00F12B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C786D">
        <w:rPr>
          <w:rFonts w:asciiTheme="minorHAnsi" w:hAnsiTheme="minorHAnsi"/>
        </w:rPr>
        <w:t>M</w:t>
      </w:r>
      <w:r w:rsidRPr="00FC786D">
        <w:rPr>
          <w:rFonts w:asciiTheme="minorHAnsi" w:hAnsiTheme="minorHAnsi"/>
          <w:color w:val="000000"/>
        </w:rPr>
        <w:t xml:space="preserve">ore than 3,300 RHCs </w:t>
      </w:r>
      <w:r w:rsidR="001A4F70">
        <w:rPr>
          <w:rFonts w:asciiTheme="minorHAnsi" w:hAnsiTheme="minorHAnsi"/>
          <w:color w:val="000000"/>
        </w:rPr>
        <w:t xml:space="preserve">currently </w:t>
      </w:r>
      <w:r w:rsidRPr="00FC786D">
        <w:rPr>
          <w:rFonts w:asciiTheme="minorHAnsi" w:hAnsiTheme="minorHAnsi"/>
          <w:color w:val="000000"/>
        </w:rPr>
        <w:t>meet the</w:t>
      </w:r>
      <w:r w:rsidRPr="00FC786D">
        <w:rPr>
          <w:rFonts w:asciiTheme="minorHAnsi" w:hAnsiTheme="minorHAnsi"/>
          <w:color w:val="000000"/>
        </w:rPr>
        <w:t xml:space="preserve"> requirements and are included on the 2016 list.</w:t>
      </w:r>
      <w:r w:rsidR="00FC786D">
        <w:rPr>
          <w:rFonts w:asciiTheme="minorHAnsi" w:hAnsiTheme="minorHAnsi"/>
          <w:color w:val="000000"/>
        </w:rPr>
        <w:t xml:space="preserve">  The remaining RHCs have the opportunity to be included on the 2017 list if they meet the requirements above and complete </w:t>
      </w:r>
      <w:r w:rsidR="00330928">
        <w:rPr>
          <w:rFonts w:asciiTheme="minorHAnsi" w:hAnsiTheme="minorHAnsi"/>
          <w:color w:val="000000"/>
        </w:rPr>
        <w:t xml:space="preserve">this </w:t>
      </w:r>
      <w:hyperlink r:id="rId18" w:history="1">
        <w:r w:rsidR="00330928" w:rsidRPr="00330928">
          <w:rPr>
            <w:rStyle w:val="Hyperlink"/>
            <w:rFonts w:asciiTheme="minorHAnsi" w:hAnsiTheme="minorHAnsi"/>
          </w:rPr>
          <w:t>form</w:t>
        </w:r>
      </w:hyperlink>
      <w:r w:rsidR="00330928">
        <w:rPr>
          <w:rFonts w:asciiTheme="minorHAnsi" w:hAnsiTheme="minorHAnsi"/>
          <w:color w:val="000000"/>
        </w:rPr>
        <w:t xml:space="preserve"> </w:t>
      </w:r>
      <w:r w:rsidR="00330928" w:rsidRPr="00330928">
        <w:rPr>
          <w:rFonts w:asciiTheme="minorHAnsi" w:hAnsiTheme="minorHAnsi"/>
          <w:color w:val="000000"/>
        </w:rPr>
        <w:t>(</w:t>
      </w:r>
      <w:r w:rsidR="00330928">
        <w:rPr>
          <w:rFonts w:asciiTheme="minorHAnsi" w:hAnsiTheme="minorHAnsi"/>
          <w:color w:val="000000"/>
        </w:rPr>
        <w:t xml:space="preserve">also </w:t>
      </w:r>
      <w:r w:rsidR="00330928" w:rsidRPr="00330928">
        <w:rPr>
          <w:rFonts w:asciiTheme="minorHAnsi" w:hAnsiTheme="minorHAnsi"/>
          <w:color w:val="000000"/>
        </w:rPr>
        <w:t xml:space="preserve">used for </w:t>
      </w:r>
      <w:hyperlink r:id="rId19" w:history="1">
        <w:r w:rsidR="00330928" w:rsidRPr="00330928">
          <w:rPr>
            <w:rStyle w:val="Hyperlink"/>
            <w:rFonts w:asciiTheme="minorHAnsi" w:hAnsiTheme="minorHAnsi"/>
          </w:rPr>
          <w:t>automatic HPSA designation</w:t>
        </w:r>
      </w:hyperlink>
      <w:r w:rsidR="00330928" w:rsidRPr="00330928">
        <w:rPr>
          <w:rFonts w:asciiTheme="minorHAnsi" w:hAnsiTheme="minorHAnsi"/>
          <w:color w:val="000000"/>
        </w:rPr>
        <w:t>)</w:t>
      </w:r>
      <w:r w:rsidR="00330928">
        <w:rPr>
          <w:rFonts w:asciiTheme="minorHAnsi" w:hAnsiTheme="minorHAnsi"/>
          <w:color w:val="000000"/>
        </w:rPr>
        <w:t xml:space="preserve"> and submit it, along with a copy of the clinic’s sliding fee schedule, </w:t>
      </w:r>
      <w:r w:rsidR="00330928">
        <w:rPr>
          <w:rFonts w:asciiTheme="minorHAnsi" w:hAnsiTheme="minorHAnsi"/>
          <w:color w:val="000000"/>
        </w:rPr>
        <w:t>to HRSA</w:t>
      </w:r>
      <w:r w:rsidR="00330928">
        <w:rPr>
          <w:rFonts w:asciiTheme="minorHAnsi" w:hAnsiTheme="minorHAnsi"/>
          <w:color w:val="000000"/>
        </w:rPr>
        <w:t xml:space="preserve"> via fax at </w:t>
      </w:r>
      <w:r w:rsidR="00330928" w:rsidRPr="00330928">
        <w:rPr>
          <w:rFonts w:asciiTheme="minorHAnsi" w:hAnsiTheme="minorHAnsi" w:cs="Arial"/>
          <w:color w:val="000000"/>
          <w:szCs w:val="20"/>
        </w:rPr>
        <w:t xml:space="preserve">301-443-2111 </w:t>
      </w:r>
      <w:r w:rsidR="00330928">
        <w:rPr>
          <w:rFonts w:asciiTheme="minorHAnsi" w:hAnsiTheme="minorHAnsi" w:cs="Arial"/>
          <w:color w:val="000000"/>
          <w:szCs w:val="20"/>
        </w:rPr>
        <w:t xml:space="preserve">or </w:t>
      </w:r>
      <w:r w:rsidR="00330928" w:rsidRPr="00330928">
        <w:rPr>
          <w:rFonts w:asciiTheme="minorHAnsi" w:hAnsiTheme="minorHAnsi" w:cs="Arial"/>
          <w:color w:val="000000"/>
          <w:szCs w:val="20"/>
        </w:rPr>
        <w:t>301-443-0463</w:t>
      </w:r>
      <w:r w:rsidR="00330928">
        <w:rPr>
          <w:rFonts w:asciiTheme="minorHAnsi" w:hAnsiTheme="minorHAnsi" w:cs="Arial"/>
          <w:color w:val="000000"/>
          <w:szCs w:val="20"/>
        </w:rPr>
        <w:t>.</w:t>
      </w:r>
    </w:p>
    <w:p w:rsidR="00842113" w:rsidRPr="00330928" w:rsidRDefault="00842113" w:rsidP="00F12BC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E3A70" w:rsidRDefault="001E3A70">
      <w:pPr>
        <w:rPr>
          <w:sz w:val="24"/>
          <w:szCs w:val="24"/>
        </w:rPr>
      </w:pPr>
    </w:p>
    <w:p w:rsidR="002838B5" w:rsidRPr="002838B5" w:rsidRDefault="002838B5" w:rsidP="000811F3">
      <w:pPr>
        <w:spacing w:after="120"/>
        <w:rPr>
          <w:b/>
          <w:sz w:val="28"/>
          <w:szCs w:val="24"/>
        </w:rPr>
      </w:pPr>
      <w:r w:rsidRPr="002838B5">
        <w:rPr>
          <w:b/>
          <w:sz w:val="28"/>
          <w:szCs w:val="24"/>
        </w:rPr>
        <w:t xml:space="preserve">CMS Updates State Operations Manual for CAHs, RHCs, </w:t>
      </w:r>
      <w:r w:rsidR="000811F3">
        <w:rPr>
          <w:b/>
          <w:sz w:val="28"/>
          <w:szCs w:val="24"/>
        </w:rPr>
        <w:t xml:space="preserve">FQHCs, </w:t>
      </w:r>
      <w:r w:rsidRPr="002838B5">
        <w:rPr>
          <w:b/>
          <w:sz w:val="28"/>
          <w:szCs w:val="24"/>
        </w:rPr>
        <w:t>Other Providers</w:t>
      </w:r>
    </w:p>
    <w:p w:rsidR="002838B5" w:rsidRPr="002838B5" w:rsidRDefault="000811F3" w:rsidP="002838B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Pr="002838B5">
        <w:rPr>
          <w:sz w:val="24"/>
          <w:szCs w:val="24"/>
        </w:rPr>
        <w:t>n January 16</w:t>
      </w:r>
      <w:r>
        <w:rPr>
          <w:sz w:val="24"/>
          <w:szCs w:val="24"/>
        </w:rPr>
        <w:t>,</w:t>
      </w:r>
      <w:r w:rsidRPr="002838B5">
        <w:rPr>
          <w:sz w:val="24"/>
          <w:szCs w:val="24"/>
        </w:rPr>
        <w:t xml:space="preserve"> </w:t>
      </w:r>
      <w:r w:rsidR="002838B5" w:rsidRPr="002838B5">
        <w:rPr>
          <w:sz w:val="24"/>
          <w:szCs w:val="24"/>
        </w:rPr>
        <w:t xml:space="preserve">CMS issued updates </w:t>
      </w:r>
      <w:r w:rsidR="002838B5">
        <w:rPr>
          <w:sz w:val="24"/>
          <w:szCs w:val="24"/>
        </w:rPr>
        <w:t xml:space="preserve">to the CAH </w:t>
      </w:r>
      <w:r>
        <w:rPr>
          <w:sz w:val="24"/>
          <w:szCs w:val="24"/>
        </w:rPr>
        <w:t>a</w:t>
      </w:r>
      <w:r w:rsidR="002838B5">
        <w:rPr>
          <w:sz w:val="24"/>
          <w:szCs w:val="24"/>
        </w:rPr>
        <w:t>ppendix to the State Operations Manual (SOM)</w:t>
      </w:r>
      <w:r w:rsidR="002838B5" w:rsidRPr="002838B5">
        <w:rPr>
          <w:sz w:val="24"/>
          <w:szCs w:val="24"/>
        </w:rPr>
        <w:t xml:space="preserve">.  An advance copy of the revised manual was attached to </w:t>
      </w:r>
      <w:hyperlink r:id="rId20" w:history="1">
        <w:r w:rsidR="002838B5" w:rsidRPr="002838B5">
          <w:rPr>
            <w:rStyle w:val="Hyperlink"/>
            <w:sz w:val="24"/>
            <w:szCs w:val="24"/>
          </w:rPr>
          <w:t>Survey &amp; Certification Letter 15-19</w:t>
        </w:r>
      </w:hyperlink>
      <w:r w:rsidR="002838B5" w:rsidRPr="002838B5">
        <w:rPr>
          <w:sz w:val="24"/>
          <w:szCs w:val="24"/>
        </w:rPr>
        <w:t xml:space="preserve">.  The full </w:t>
      </w:r>
      <w:r>
        <w:rPr>
          <w:sz w:val="24"/>
          <w:szCs w:val="24"/>
        </w:rPr>
        <w:t xml:space="preserve">manual is stilling </w:t>
      </w:r>
      <w:r w:rsidR="002838B5" w:rsidRPr="002838B5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r w:rsidR="002838B5" w:rsidRPr="002838B5">
        <w:rPr>
          <w:sz w:val="24"/>
          <w:szCs w:val="24"/>
        </w:rPr>
        <w:t xml:space="preserve"> updated</w:t>
      </w:r>
      <w:r>
        <w:rPr>
          <w:sz w:val="24"/>
          <w:szCs w:val="24"/>
        </w:rPr>
        <w:t>, but the new guidelines are</w:t>
      </w:r>
      <w:r w:rsidR="002838B5" w:rsidRPr="002838B5">
        <w:rPr>
          <w:sz w:val="24"/>
          <w:szCs w:val="24"/>
        </w:rPr>
        <w:t xml:space="preserve"> effective immediately.  Updates with significantly increased interpretive guidance include: 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 xml:space="preserve">Clarification of required MD/DO review of </w:t>
      </w:r>
      <w:r w:rsidRPr="002838B5">
        <w:rPr>
          <w:i/>
          <w:iCs/>
          <w:sz w:val="24"/>
          <w:szCs w:val="24"/>
        </w:rPr>
        <w:t>inpatient</w:t>
      </w:r>
      <w:r w:rsidRPr="002838B5">
        <w:rPr>
          <w:sz w:val="24"/>
          <w:szCs w:val="24"/>
        </w:rPr>
        <w:t xml:space="preserve"> records when care is provided by non-physician practitioners (review not required for outpatient records unless b</w:t>
      </w:r>
      <w:r w:rsidRPr="002838B5">
        <w:rPr>
          <w:sz w:val="24"/>
          <w:szCs w:val="24"/>
        </w:rPr>
        <w:t xml:space="preserve">y state law) 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Inpatient services must be commensurate wi</w:t>
      </w:r>
      <w:r w:rsidR="000811F3">
        <w:rPr>
          <w:sz w:val="24"/>
          <w:szCs w:val="24"/>
        </w:rPr>
        <w:t>th the level of other services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Requirements that therapy services (PT, OT, &amp; SLT) are provided by staff qualified under state law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bookmarkStart w:id="0" w:name="_GoBack"/>
      <w:r w:rsidRPr="002838B5">
        <w:rPr>
          <w:sz w:val="24"/>
          <w:szCs w:val="24"/>
        </w:rPr>
        <w:t xml:space="preserve">Requirements to monitor patient access to specialty services not available at the CAH </w:t>
      </w:r>
    </w:p>
    <w:bookmarkEnd w:id="0"/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Expanded medication administration and safety standards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Drug oversight and drug compounding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Infection control, monitoring, and reporting of healthcare acquired infections</w:t>
      </w:r>
    </w:p>
    <w:p w:rsidR="00000000" w:rsidRPr="002838B5" w:rsidRDefault="001A4F70" w:rsidP="002838B5">
      <w:pPr>
        <w:numPr>
          <w:ilvl w:val="0"/>
          <w:numId w:val="7"/>
        </w:numPr>
        <w:tabs>
          <w:tab w:val="clear" w:pos="720"/>
        </w:tabs>
        <w:ind w:left="540"/>
        <w:rPr>
          <w:sz w:val="24"/>
          <w:szCs w:val="24"/>
        </w:rPr>
      </w:pPr>
      <w:r w:rsidRPr="002838B5">
        <w:rPr>
          <w:sz w:val="24"/>
          <w:szCs w:val="24"/>
        </w:rPr>
        <w:t>Patient nutrition and dietary assessments</w:t>
      </w:r>
    </w:p>
    <w:p w:rsidR="002838B5" w:rsidRDefault="002838B5">
      <w:pPr>
        <w:rPr>
          <w:sz w:val="24"/>
          <w:szCs w:val="24"/>
        </w:rPr>
      </w:pPr>
    </w:p>
    <w:p w:rsidR="000811F3" w:rsidRPr="000811F3" w:rsidRDefault="000811F3" w:rsidP="000811F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On January 30, </w:t>
      </w:r>
      <w:r w:rsidRPr="000811F3">
        <w:rPr>
          <w:sz w:val="24"/>
          <w:szCs w:val="24"/>
        </w:rPr>
        <w:t xml:space="preserve">CMS issued updates </w:t>
      </w:r>
      <w:r>
        <w:rPr>
          <w:sz w:val="24"/>
          <w:szCs w:val="24"/>
        </w:rPr>
        <w:t xml:space="preserve">to the SOM appendices impacting several provider types.  An advanced copy of the revised manual was attached to </w:t>
      </w:r>
      <w:hyperlink r:id="rId21" w:history="1">
        <w:r w:rsidRPr="000811F3">
          <w:rPr>
            <w:rStyle w:val="Hyperlink"/>
            <w:sz w:val="24"/>
            <w:szCs w:val="24"/>
          </w:rPr>
          <w:t>Survey &amp; Certification Letter 15-22</w:t>
        </w:r>
      </w:hyperlink>
      <w:r>
        <w:rPr>
          <w:sz w:val="24"/>
          <w:szCs w:val="24"/>
        </w:rPr>
        <w:t>.  The affected provider types include:</w:t>
      </w:r>
    </w:p>
    <w:p w:rsidR="00000000" w:rsidRPr="000811F3" w:rsidRDefault="001A4F70" w:rsidP="000811F3">
      <w:pPr>
        <w:numPr>
          <w:ilvl w:val="0"/>
          <w:numId w:val="8"/>
        </w:numPr>
        <w:tabs>
          <w:tab w:val="clear" w:pos="720"/>
        </w:tabs>
        <w:ind w:left="540"/>
        <w:rPr>
          <w:sz w:val="24"/>
          <w:szCs w:val="24"/>
        </w:rPr>
      </w:pPr>
      <w:r w:rsidRPr="000811F3">
        <w:rPr>
          <w:sz w:val="24"/>
          <w:szCs w:val="24"/>
        </w:rPr>
        <w:t xml:space="preserve">Appendix A – Hospitals </w:t>
      </w:r>
    </w:p>
    <w:p w:rsidR="00000000" w:rsidRPr="000811F3" w:rsidRDefault="001A4F70" w:rsidP="000811F3">
      <w:pPr>
        <w:numPr>
          <w:ilvl w:val="0"/>
          <w:numId w:val="8"/>
        </w:numPr>
        <w:tabs>
          <w:tab w:val="clear" w:pos="720"/>
        </w:tabs>
        <w:ind w:left="540"/>
        <w:rPr>
          <w:sz w:val="24"/>
          <w:szCs w:val="24"/>
        </w:rPr>
      </w:pPr>
      <w:r w:rsidRPr="000811F3">
        <w:rPr>
          <w:sz w:val="24"/>
          <w:szCs w:val="24"/>
        </w:rPr>
        <w:t xml:space="preserve">Appendix T - Hospital Swing Beds </w:t>
      </w:r>
    </w:p>
    <w:p w:rsidR="00000000" w:rsidRPr="000811F3" w:rsidRDefault="001A4F70" w:rsidP="000811F3">
      <w:pPr>
        <w:numPr>
          <w:ilvl w:val="0"/>
          <w:numId w:val="8"/>
        </w:numPr>
        <w:tabs>
          <w:tab w:val="clear" w:pos="720"/>
        </w:tabs>
        <w:ind w:left="540"/>
        <w:rPr>
          <w:sz w:val="24"/>
          <w:szCs w:val="24"/>
        </w:rPr>
      </w:pPr>
      <w:r w:rsidRPr="000811F3">
        <w:rPr>
          <w:sz w:val="24"/>
          <w:szCs w:val="24"/>
        </w:rPr>
        <w:t xml:space="preserve">Appendix L – ASCs </w:t>
      </w:r>
    </w:p>
    <w:p w:rsidR="00000000" w:rsidRPr="000811F3" w:rsidRDefault="001A4F70" w:rsidP="000811F3">
      <w:pPr>
        <w:numPr>
          <w:ilvl w:val="0"/>
          <w:numId w:val="8"/>
        </w:numPr>
        <w:tabs>
          <w:tab w:val="clear" w:pos="720"/>
        </w:tabs>
        <w:ind w:left="540"/>
        <w:rPr>
          <w:sz w:val="24"/>
          <w:szCs w:val="24"/>
        </w:rPr>
      </w:pPr>
      <w:r w:rsidRPr="000811F3">
        <w:rPr>
          <w:sz w:val="24"/>
          <w:szCs w:val="24"/>
        </w:rPr>
        <w:lastRenderedPageBreak/>
        <w:t xml:space="preserve">Appendix G – RHCs and FQHCs </w:t>
      </w:r>
    </w:p>
    <w:p w:rsidR="000811F3" w:rsidRDefault="000811F3" w:rsidP="000811F3">
      <w:pPr>
        <w:rPr>
          <w:sz w:val="24"/>
          <w:szCs w:val="24"/>
        </w:rPr>
      </w:pPr>
    </w:p>
    <w:p w:rsidR="000811F3" w:rsidRDefault="000811F3" w:rsidP="000811F3">
      <w:pPr>
        <w:rPr>
          <w:sz w:val="24"/>
          <w:szCs w:val="24"/>
        </w:rPr>
      </w:pPr>
      <w:r>
        <w:rPr>
          <w:sz w:val="24"/>
          <w:szCs w:val="24"/>
        </w:rPr>
        <w:t>In addition, t</w:t>
      </w:r>
      <w:r w:rsidRPr="000811F3">
        <w:rPr>
          <w:sz w:val="24"/>
          <w:szCs w:val="24"/>
        </w:rPr>
        <w:t xml:space="preserve">he </w:t>
      </w:r>
      <w:hyperlink r:id="rId22" w:history="1">
        <w:r w:rsidRPr="000811F3">
          <w:rPr>
            <w:rStyle w:val="Hyperlink"/>
            <w:sz w:val="24"/>
            <w:szCs w:val="24"/>
          </w:rPr>
          <w:t xml:space="preserve">Medicare </w:t>
        </w:r>
      </w:hyperlink>
      <w:hyperlink r:id="rId23" w:history="1">
        <w:r w:rsidRPr="000811F3">
          <w:rPr>
            <w:rStyle w:val="Hyperlink"/>
            <w:sz w:val="24"/>
            <w:szCs w:val="24"/>
          </w:rPr>
          <w:t xml:space="preserve">Benefit Policy Manual, Chapter </w:t>
        </w:r>
      </w:hyperlink>
      <w:hyperlink r:id="rId24" w:history="1">
        <w:r w:rsidRPr="000811F3">
          <w:rPr>
            <w:rStyle w:val="Hyperlink"/>
            <w:sz w:val="24"/>
            <w:szCs w:val="24"/>
          </w:rPr>
          <w:t>13</w:t>
        </w:r>
      </w:hyperlink>
      <w:r w:rsidRPr="0008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(RHC and FQHC Services) </w:t>
      </w:r>
      <w:r w:rsidRPr="000811F3">
        <w:rPr>
          <w:sz w:val="24"/>
          <w:szCs w:val="24"/>
        </w:rPr>
        <w:t>has been updated effective January 1.  RHC updates include employment requirements</w:t>
      </w:r>
      <w:r w:rsidR="001A4F70">
        <w:rPr>
          <w:sz w:val="24"/>
          <w:szCs w:val="24"/>
        </w:rPr>
        <w:t>,</w:t>
      </w:r>
      <w:r w:rsidRPr="000811F3">
        <w:rPr>
          <w:sz w:val="24"/>
          <w:szCs w:val="24"/>
        </w:rPr>
        <w:t xml:space="preserve"> preventive health services</w:t>
      </w:r>
      <w:r w:rsidR="001A4F70">
        <w:rPr>
          <w:sz w:val="24"/>
          <w:szCs w:val="24"/>
        </w:rPr>
        <w:t>,</w:t>
      </w:r>
      <w:r w:rsidRPr="000811F3">
        <w:rPr>
          <w:sz w:val="24"/>
          <w:szCs w:val="24"/>
        </w:rPr>
        <w:t xml:space="preserve"> and other issues related to billing and services.  </w:t>
      </w:r>
      <w:hyperlink r:id="rId25" w:history="1">
        <w:proofErr w:type="spellStart"/>
        <w:r w:rsidRPr="000811F3">
          <w:rPr>
            <w:rStyle w:val="Hyperlink"/>
            <w:sz w:val="24"/>
            <w:szCs w:val="24"/>
          </w:rPr>
          <w:t>MedLearn</w:t>
        </w:r>
        <w:proofErr w:type="spellEnd"/>
      </w:hyperlink>
      <w:hyperlink r:id="rId26" w:history="1">
        <w:r w:rsidRPr="000811F3">
          <w:rPr>
            <w:rStyle w:val="Hyperlink"/>
            <w:sz w:val="24"/>
            <w:szCs w:val="24"/>
          </w:rPr>
          <w:t xml:space="preserve"> Matters 8981</w:t>
        </w:r>
      </w:hyperlink>
      <w:r w:rsidRPr="000811F3">
        <w:rPr>
          <w:sz w:val="24"/>
          <w:szCs w:val="24"/>
        </w:rPr>
        <w:t xml:space="preserve"> provides a summary of the updates.</w:t>
      </w:r>
    </w:p>
    <w:p w:rsidR="001A4F70" w:rsidRDefault="001A4F70" w:rsidP="000811F3">
      <w:pPr>
        <w:rPr>
          <w:sz w:val="24"/>
          <w:szCs w:val="24"/>
        </w:rPr>
      </w:pPr>
    </w:p>
    <w:p w:rsidR="001A4F70" w:rsidRPr="001E3A70" w:rsidRDefault="001A4F70" w:rsidP="000811F3">
      <w:pPr>
        <w:rPr>
          <w:sz w:val="24"/>
          <w:szCs w:val="24"/>
        </w:rPr>
      </w:pPr>
    </w:p>
    <w:sectPr w:rsidR="001A4F70" w:rsidRPr="001E3A70" w:rsidSect="00DE58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AC"/>
    <w:multiLevelType w:val="hybridMultilevel"/>
    <w:tmpl w:val="FF5057DC"/>
    <w:lvl w:ilvl="0" w:tplc="0354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8F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6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2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0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9A4200"/>
    <w:multiLevelType w:val="hybridMultilevel"/>
    <w:tmpl w:val="EF669DE2"/>
    <w:lvl w:ilvl="0" w:tplc="89BE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AFE68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42C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608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64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2FF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D081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722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B89608E"/>
    <w:multiLevelType w:val="hybridMultilevel"/>
    <w:tmpl w:val="8F24C9F6"/>
    <w:lvl w:ilvl="0" w:tplc="9CD2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8C84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A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A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C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5650B3"/>
    <w:multiLevelType w:val="hybridMultilevel"/>
    <w:tmpl w:val="3968B3DA"/>
    <w:lvl w:ilvl="0" w:tplc="2E56F7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E68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42C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608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64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2FF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D081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722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94A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A7D0C2C"/>
    <w:multiLevelType w:val="hybridMultilevel"/>
    <w:tmpl w:val="0B6ECC06"/>
    <w:lvl w:ilvl="0" w:tplc="7960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8B523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2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A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E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A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A43E1B"/>
    <w:multiLevelType w:val="hybridMultilevel"/>
    <w:tmpl w:val="9B9C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A2FAA"/>
    <w:multiLevelType w:val="hybridMultilevel"/>
    <w:tmpl w:val="404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8656C"/>
    <w:multiLevelType w:val="hybridMultilevel"/>
    <w:tmpl w:val="73BECA76"/>
    <w:lvl w:ilvl="0" w:tplc="AC20E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8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6F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2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00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6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0"/>
    <w:rsid w:val="000811F3"/>
    <w:rsid w:val="001A4F70"/>
    <w:rsid w:val="001A6E03"/>
    <w:rsid w:val="001E3A70"/>
    <w:rsid w:val="002838B5"/>
    <w:rsid w:val="00330928"/>
    <w:rsid w:val="006C3B0F"/>
    <w:rsid w:val="00777830"/>
    <w:rsid w:val="00842113"/>
    <w:rsid w:val="00994210"/>
    <w:rsid w:val="00A249EC"/>
    <w:rsid w:val="00B45A8C"/>
    <w:rsid w:val="00BD06A6"/>
    <w:rsid w:val="00CE4031"/>
    <w:rsid w:val="00D10D7F"/>
    <w:rsid w:val="00D22DD8"/>
    <w:rsid w:val="00D65141"/>
    <w:rsid w:val="00D868F9"/>
    <w:rsid w:val="00DE58A0"/>
    <w:rsid w:val="00F12BC4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3A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6E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C3B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113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3A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6E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C3B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113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72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26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5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7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4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58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5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912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15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471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094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3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0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0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03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2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467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7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g.hhs.gov/oei/reports/oei-05-12-00080.pdf" TargetMode="External"/><Relationship Id="rId13" Type="http://schemas.openxmlformats.org/officeDocument/2006/relationships/hyperlink" Target="https://questions.cms.gov/faq.php?id=5005&amp;faqId=11910" TargetMode="External"/><Relationship Id="rId18" Type="http://schemas.openxmlformats.org/officeDocument/2006/relationships/hyperlink" Target="http://bhpr.hrsa.gov/shortage/hpsas/certofeligibility.pdf" TargetMode="External"/><Relationship Id="rId26" Type="http://schemas.openxmlformats.org/officeDocument/2006/relationships/hyperlink" Target="http://www.cms.gov/Outreach-and-Education/Medicare-Learning-Network-MLN/MLNMattersArticles/Downloads/MM898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ms.gov/Medicare/Provider-Enrollment-and-Certification/SurveyCertificationGenInfo/Policy-and-Memos-to-States-and-Regions-Items/Survey-and-Cert-Letter-15-22.html" TargetMode="External"/><Relationship Id="rId7" Type="http://schemas.openxmlformats.org/officeDocument/2006/relationships/hyperlink" Target="http://oig.hhs.gov/oei/reports/oei-05-12-00080.pdf" TargetMode="External"/><Relationship Id="rId12" Type="http://schemas.openxmlformats.org/officeDocument/2006/relationships/hyperlink" Target="http://www.cms.gov/Medicare/Quality-Initiatives-Patient-Assessment-Instruments/PQRS/index.html" TargetMode="External"/><Relationship Id="rId17" Type="http://schemas.openxmlformats.org/officeDocument/2006/relationships/hyperlink" Target="http://www.cms.gov/CCIIO/Programs-and-Initiatives/Health-Insurance-Marketplaces/Downloads/FINAL-non-exhaustive-HHS-List-of-ECPs-for-PY-2016.xlsx" TargetMode="External"/><Relationship Id="rId25" Type="http://schemas.openxmlformats.org/officeDocument/2006/relationships/hyperlink" Target="http://www.cms.gov/Outreach-and-Education/Medicare-Learning-Network-MLN/MLNMattersArticles/Downloads/MM898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s.gov/Medicare/Quality-Initiatives-Patient-Assessment-Instruments/PQRS/Downloads/PQRS-Timeline-2014-2016.pdf" TargetMode="External"/><Relationship Id="rId20" Type="http://schemas.openxmlformats.org/officeDocument/2006/relationships/hyperlink" Target="http://www.cms.gov/Medicare/Provider-Enrollment-and-Certification/SurveyCertificationGenInfo/Policy-and-Memos-to-States-and-Regions-Items/Survey-and-Cert-Letter-15-19.html?DLPage=1&amp;DLSort=2&amp;DLSortDir=descend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ig.hhs.gov/oei/reports/oei-05-12-00080.pdf" TargetMode="External"/><Relationship Id="rId11" Type="http://schemas.openxmlformats.org/officeDocument/2006/relationships/hyperlink" Target="http://www.ecfr.gov/cgi-bin/text-idx?SID=53ce343dafa3dd04c61f6d86def52885&amp;node=se42.2.412_1103&amp;rgn=div8" TargetMode="External"/><Relationship Id="rId24" Type="http://schemas.openxmlformats.org/officeDocument/2006/relationships/hyperlink" Target="http://www.cms.gov/Regulations-and-Guidance/Guidance/Manuals/Downloads/bp102c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estions.cms.gov/faq.php?id=5005&amp;faqId=9952" TargetMode="External"/><Relationship Id="rId23" Type="http://schemas.openxmlformats.org/officeDocument/2006/relationships/hyperlink" Target="http://www.cms.gov/Regulations-and-Guidance/Guidance/Manuals/Downloads/bp102c1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ms.gov/Regulations-and-Guidance/Guidance/Manuals/Downloads/som107ap_w_cah.pdf" TargetMode="External"/><Relationship Id="rId19" Type="http://schemas.openxmlformats.org/officeDocument/2006/relationships/hyperlink" Target="http://bhpr.hrsa.gov/shortage/hpsas/ruralhealthhp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.gov/Regulations-and-Guidance/Guidance/Manuals/Downloads/som107ap_w_cah.pdf" TargetMode="External"/><Relationship Id="rId14" Type="http://schemas.openxmlformats.org/officeDocument/2006/relationships/hyperlink" Target="mailto:Qnetsupport@hcqis.org" TargetMode="External"/><Relationship Id="rId22" Type="http://schemas.openxmlformats.org/officeDocument/2006/relationships/hyperlink" Target="http://www.cms.gov/Regulations-and-Guidance/Guidance/Manuals/Downloads/bp102c13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Fischbach</dc:creator>
  <cp:lastModifiedBy>Aaron Fischbach</cp:lastModifiedBy>
  <cp:revision>3</cp:revision>
  <dcterms:created xsi:type="dcterms:W3CDTF">2015-02-10T23:16:00Z</dcterms:created>
  <dcterms:modified xsi:type="dcterms:W3CDTF">2015-02-11T00:42:00Z</dcterms:modified>
</cp:coreProperties>
</file>